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sldx" ContentType="application/vnd.openxmlformats-officedocument.presentationml.slide"/>
  <Override PartName="/word/charts/chart1.xml" ContentType="application/vnd.openxmlformats-officedocument.drawingml.chart+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357" w:rsidRDefault="00D11357" w:rsidP="00524A9B">
      <w:pPr>
        <w:jc w:val="center"/>
        <w:rPr>
          <w:rFonts w:ascii="Times New Roman" w:hAnsi="Times New Roman" w:cs="Times New Roman"/>
          <w:caps/>
          <w:sz w:val="24"/>
          <w:szCs w:val="24"/>
          <w:lang w:val="pt-PT"/>
        </w:rPr>
      </w:pPr>
    </w:p>
    <w:p w:rsidR="008D2633" w:rsidRPr="008D2633" w:rsidRDefault="008D2633" w:rsidP="00524A9B">
      <w:pPr>
        <w:jc w:val="center"/>
        <w:rPr>
          <w:rFonts w:ascii="Times New Roman" w:hAnsi="Times New Roman" w:cs="Times New Roman"/>
          <w:caps/>
          <w:sz w:val="24"/>
          <w:szCs w:val="24"/>
          <w:lang w:val="pt-PT"/>
        </w:rPr>
      </w:pPr>
      <w:r w:rsidRPr="008D2633">
        <w:rPr>
          <w:rFonts w:ascii="Times New Roman" w:hAnsi="Times New Roman" w:cs="Times New Roman"/>
          <w:caps/>
          <w:sz w:val="24"/>
          <w:szCs w:val="24"/>
          <w:lang w:val="pt-PT"/>
        </w:rPr>
        <w:t>Universidade federal do rio de janeiro</w:t>
      </w:r>
    </w:p>
    <w:p w:rsidR="008D2633" w:rsidRPr="008D2633" w:rsidRDefault="008D2633" w:rsidP="008D2633">
      <w:pPr>
        <w:jc w:val="center"/>
        <w:rPr>
          <w:rFonts w:ascii="Times New Roman" w:hAnsi="Times New Roman" w:cs="Times New Roman"/>
          <w:caps/>
          <w:sz w:val="24"/>
          <w:szCs w:val="24"/>
          <w:lang w:val="pt-PT"/>
        </w:rPr>
      </w:pPr>
      <w:r w:rsidRPr="008D2633">
        <w:rPr>
          <w:rFonts w:ascii="Times New Roman" w:hAnsi="Times New Roman" w:cs="Times New Roman"/>
          <w:caps/>
          <w:sz w:val="24"/>
          <w:szCs w:val="24"/>
          <w:lang w:val="pt-PT"/>
        </w:rPr>
        <w:t>instituto de economia</w:t>
      </w:r>
    </w:p>
    <w:p w:rsidR="008D2633" w:rsidRPr="008D2633" w:rsidRDefault="008D2633" w:rsidP="008D2633">
      <w:pPr>
        <w:jc w:val="center"/>
        <w:rPr>
          <w:rFonts w:ascii="Times New Roman" w:hAnsi="Times New Roman" w:cs="Times New Roman"/>
          <w:caps/>
          <w:sz w:val="24"/>
          <w:szCs w:val="24"/>
          <w:lang w:val="pt-PT"/>
        </w:rPr>
      </w:pPr>
    </w:p>
    <w:p w:rsidR="008D2633" w:rsidRDefault="008D2633" w:rsidP="00345341">
      <w:pPr>
        <w:spacing w:line="360" w:lineRule="auto"/>
        <w:jc w:val="center"/>
        <w:rPr>
          <w:rFonts w:ascii="Times New Roman" w:hAnsi="Times New Roman" w:cs="Times New Roman"/>
          <w:b/>
          <w:i/>
          <w:caps/>
          <w:sz w:val="24"/>
          <w:szCs w:val="24"/>
          <w:lang w:val="pt-PT"/>
        </w:rPr>
      </w:pPr>
    </w:p>
    <w:p w:rsidR="008D2633" w:rsidRPr="00D06980" w:rsidRDefault="008D2633" w:rsidP="00345341">
      <w:pPr>
        <w:spacing w:line="360" w:lineRule="auto"/>
        <w:jc w:val="center"/>
        <w:rPr>
          <w:rFonts w:ascii="Times New Roman" w:hAnsi="Times New Roman" w:cs="Times New Roman"/>
          <w:caps/>
          <w:sz w:val="24"/>
          <w:szCs w:val="24"/>
          <w:lang w:val="pt-PT"/>
        </w:rPr>
      </w:pPr>
    </w:p>
    <w:p w:rsidR="008D2633" w:rsidRDefault="008D2633" w:rsidP="00345341">
      <w:pPr>
        <w:spacing w:line="360" w:lineRule="auto"/>
        <w:jc w:val="center"/>
        <w:rPr>
          <w:rFonts w:ascii="Times New Roman" w:hAnsi="Times New Roman" w:cs="Times New Roman"/>
          <w:b/>
          <w:i/>
          <w:caps/>
          <w:sz w:val="24"/>
          <w:szCs w:val="24"/>
          <w:lang w:val="pt-PT"/>
        </w:rPr>
      </w:pPr>
    </w:p>
    <w:p w:rsidR="008D2633" w:rsidRDefault="008D2633" w:rsidP="00345341">
      <w:pPr>
        <w:spacing w:line="360" w:lineRule="auto"/>
        <w:jc w:val="center"/>
        <w:rPr>
          <w:rFonts w:ascii="Times New Roman" w:hAnsi="Times New Roman" w:cs="Times New Roman"/>
          <w:b/>
          <w:i/>
          <w:caps/>
          <w:sz w:val="24"/>
          <w:szCs w:val="24"/>
          <w:lang w:val="pt-PT"/>
        </w:rPr>
      </w:pPr>
    </w:p>
    <w:p w:rsidR="008D2633" w:rsidRDefault="008D2633" w:rsidP="00345341">
      <w:pPr>
        <w:spacing w:line="360" w:lineRule="auto"/>
        <w:jc w:val="center"/>
        <w:rPr>
          <w:rFonts w:ascii="Times New Roman" w:hAnsi="Times New Roman" w:cs="Times New Roman"/>
          <w:b/>
          <w:i/>
          <w:caps/>
          <w:sz w:val="24"/>
          <w:szCs w:val="24"/>
          <w:lang w:val="pt-PT"/>
        </w:rPr>
      </w:pPr>
    </w:p>
    <w:p w:rsidR="008D2633" w:rsidRDefault="008D2633" w:rsidP="00345341">
      <w:pPr>
        <w:spacing w:line="360" w:lineRule="auto"/>
        <w:jc w:val="center"/>
        <w:rPr>
          <w:rFonts w:ascii="Times New Roman" w:hAnsi="Times New Roman" w:cs="Times New Roman"/>
          <w:b/>
          <w:i/>
          <w:caps/>
          <w:sz w:val="24"/>
          <w:szCs w:val="24"/>
          <w:lang w:val="pt-PT"/>
        </w:rPr>
      </w:pPr>
    </w:p>
    <w:p w:rsidR="008D2633" w:rsidRDefault="008D2633" w:rsidP="00345341">
      <w:pPr>
        <w:spacing w:line="360" w:lineRule="auto"/>
        <w:jc w:val="center"/>
        <w:rPr>
          <w:rFonts w:ascii="Times New Roman" w:hAnsi="Times New Roman" w:cs="Times New Roman"/>
          <w:b/>
          <w:i/>
          <w:caps/>
          <w:sz w:val="24"/>
          <w:szCs w:val="24"/>
          <w:lang w:val="pt-PT"/>
        </w:rPr>
      </w:pPr>
    </w:p>
    <w:p w:rsidR="00345341" w:rsidRPr="00D06980" w:rsidRDefault="00345341" w:rsidP="00345341">
      <w:pPr>
        <w:spacing w:line="360" w:lineRule="auto"/>
        <w:jc w:val="center"/>
        <w:rPr>
          <w:rFonts w:ascii="Times New Roman" w:hAnsi="Times New Roman" w:cs="Times New Roman"/>
          <w:b/>
          <w:caps/>
          <w:sz w:val="24"/>
          <w:szCs w:val="24"/>
          <w:lang w:val="pt-PT"/>
        </w:rPr>
      </w:pPr>
      <w:r w:rsidRPr="00D06980">
        <w:rPr>
          <w:rFonts w:ascii="Times New Roman" w:hAnsi="Times New Roman" w:cs="Times New Roman"/>
          <w:b/>
          <w:caps/>
          <w:sz w:val="24"/>
          <w:szCs w:val="24"/>
          <w:lang w:val="pt-PT"/>
        </w:rPr>
        <w:t>adaptação regulatória na indústria de biocombustíveis</w:t>
      </w:r>
    </w:p>
    <w:p w:rsidR="00345341" w:rsidRDefault="00345341" w:rsidP="009E75F7">
      <w:pPr>
        <w:spacing w:line="360" w:lineRule="auto"/>
        <w:jc w:val="center"/>
        <w:rPr>
          <w:rFonts w:ascii="Times New Roman" w:hAnsi="Times New Roman" w:cs="Times New Roman"/>
          <w:b/>
          <w:caps/>
          <w:sz w:val="24"/>
          <w:szCs w:val="24"/>
          <w:lang w:val="pt-PT"/>
        </w:rPr>
      </w:pPr>
    </w:p>
    <w:p w:rsidR="00345341" w:rsidRDefault="00345341" w:rsidP="009E75F7">
      <w:pPr>
        <w:spacing w:line="360" w:lineRule="auto"/>
        <w:jc w:val="center"/>
        <w:rPr>
          <w:rFonts w:ascii="Times New Roman" w:hAnsi="Times New Roman" w:cs="Times New Roman"/>
          <w:b/>
          <w:caps/>
          <w:sz w:val="24"/>
          <w:szCs w:val="24"/>
          <w:lang w:val="pt-PT"/>
        </w:rPr>
      </w:pPr>
    </w:p>
    <w:p w:rsidR="00345341" w:rsidRDefault="00345341" w:rsidP="009E75F7">
      <w:pPr>
        <w:spacing w:line="360" w:lineRule="auto"/>
        <w:jc w:val="center"/>
        <w:rPr>
          <w:rFonts w:ascii="Times New Roman" w:hAnsi="Times New Roman" w:cs="Times New Roman"/>
          <w:b/>
          <w:caps/>
          <w:sz w:val="24"/>
          <w:szCs w:val="24"/>
          <w:lang w:val="pt-PT"/>
        </w:rPr>
      </w:pPr>
    </w:p>
    <w:p w:rsidR="00345341" w:rsidRDefault="00345341" w:rsidP="008D2633">
      <w:pPr>
        <w:spacing w:line="360" w:lineRule="auto"/>
        <w:rPr>
          <w:rFonts w:ascii="Times New Roman" w:hAnsi="Times New Roman" w:cs="Times New Roman"/>
          <w:b/>
          <w:caps/>
          <w:sz w:val="24"/>
          <w:szCs w:val="24"/>
          <w:lang w:val="pt-PT"/>
        </w:rPr>
      </w:pPr>
    </w:p>
    <w:p w:rsidR="00345341" w:rsidRDefault="00345341" w:rsidP="009E75F7">
      <w:pPr>
        <w:spacing w:line="360" w:lineRule="auto"/>
        <w:jc w:val="center"/>
        <w:rPr>
          <w:rFonts w:ascii="Times New Roman" w:hAnsi="Times New Roman" w:cs="Times New Roman"/>
          <w:b/>
          <w:caps/>
          <w:sz w:val="24"/>
          <w:szCs w:val="24"/>
          <w:lang w:val="pt-PT"/>
        </w:rPr>
      </w:pPr>
    </w:p>
    <w:p w:rsidR="00345341" w:rsidRDefault="00345341" w:rsidP="009E75F7">
      <w:pPr>
        <w:spacing w:line="360" w:lineRule="auto"/>
        <w:jc w:val="center"/>
        <w:rPr>
          <w:rFonts w:ascii="Times New Roman" w:hAnsi="Times New Roman" w:cs="Times New Roman"/>
          <w:caps/>
          <w:sz w:val="24"/>
          <w:szCs w:val="24"/>
          <w:lang w:val="pt-PT"/>
        </w:rPr>
      </w:pPr>
    </w:p>
    <w:p w:rsidR="00345341" w:rsidRPr="00D06980" w:rsidRDefault="00993B37" w:rsidP="009E75F7">
      <w:pPr>
        <w:spacing w:line="360" w:lineRule="auto"/>
        <w:jc w:val="center"/>
        <w:rPr>
          <w:rFonts w:ascii="Times New Roman" w:hAnsi="Times New Roman" w:cs="Times New Roman"/>
          <w:caps/>
          <w:sz w:val="24"/>
          <w:szCs w:val="24"/>
          <w:lang w:val="pt-PT"/>
        </w:rPr>
      </w:pPr>
      <w:r w:rsidRPr="00D06980">
        <w:rPr>
          <w:rFonts w:ascii="Times New Roman" w:hAnsi="Times New Roman" w:cs="Times New Roman"/>
          <w:caps/>
          <w:sz w:val="24"/>
          <w:szCs w:val="24"/>
          <w:lang w:val="pt-PT"/>
        </w:rPr>
        <w:t>Inaiê Takaes S</w:t>
      </w:r>
      <w:r w:rsidR="00345341" w:rsidRPr="00D06980">
        <w:rPr>
          <w:rFonts w:ascii="Times New Roman" w:hAnsi="Times New Roman" w:cs="Times New Roman"/>
          <w:caps/>
          <w:sz w:val="24"/>
          <w:szCs w:val="24"/>
          <w:lang w:val="pt-PT"/>
        </w:rPr>
        <w:t>antos</w:t>
      </w:r>
    </w:p>
    <w:p w:rsidR="00345341" w:rsidRDefault="00345341" w:rsidP="009E75F7">
      <w:pPr>
        <w:spacing w:line="360" w:lineRule="auto"/>
        <w:jc w:val="center"/>
        <w:rPr>
          <w:rFonts w:ascii="Times New Roman" w:hAnsi="Times New Roman" w:cs="Times New Roman"/>
          <w:caps/>
          <w:sz w:val="24"/>
          <w:szCs w:val="24"/>
          <w:lang w:val="pt-PT"/>
        </w:rPr>
      </w:pPr>
    </w:p>
    <w:p w:rsidR="00345341" w:rsidRDefault="00345341" w:rsidP="009E75F7">
      <w:pPr>
        <w:spacing w:line="360" w:lineRule="auto"/>
        <w:jc w:val="center"/>
        <w:rPr>
          <w:rFonts w:ascii="Times New Roman" w:hAnsi="Times New Roman" w:cs="Times New Roman"/>
          <w:caps/>
          <w:sz w:val="24"/>
          <w:szCs w:val="24"/>
          <w:lang w:val="pt-PT"/>
        </w:rPr>
      </w:pPr>
    </w:p>
    <w:p w:rsidR="00345341" w:rsidRPr="00345341" w:rsidRDefault="00345341" w:rsidP="009E75F7">
      <w:pPr>
        <w:spacing w:line="360" w:lineRule="auto"/>
        <w:jc w:val="center"/>
        <w:rPr>
          <w:rFonts w:ascii="Times New Roman" w:hAnsi="Times New Roman" w:cs="Times New Roman"/>
          <w:caps/>
          <w:sz w:val="24"/>
          <w:szCs w:val="24"/>
          <w:lang w:val="pt-PT"/>
        </w:rPr>
      </w:pPr>
    </w:p>
    <w:p w:rsidR="00345341" w:rsidRDefault="00345341" w:rsidP="009E75F7">
      <w:pPr>
        <w:spacing w:line="360" w:lineRule="auto"/>
        <w:jc w:val="center"/>
        <w:rPr>
          <w:rFonts w:ascii="Times New Roman" w:hAnsi="Times New Roman" w:cs="Times New Roman"/>
          <w:caps/>
          <w:sz w:val="24"/>
          <w:szCs w:val="24"/>
          <w:lang w:val="pt-PT"/>
        </w:rPr>
      </w:pPr>
    </w:p>
    <w:p w:rsidR="00993B37" w:rsidRDefault="00993B37" w:rsidP="009E75F7">
      <w:pPr>
        <w:spacing w:line="360" w:lineRule="auto"/>
        <w:jc w:val="center"/>
        <w:rPr>
          <w:rFonts w:ascii="Times New Roman" w:hAnsi="Times New Roman" w:cs="Times New Roman"/>
          <w:caps/>
          <w:sz w:val="24"/>
          <w:szCs w:val="24"/>
          <w:lang w:val="pt-PT"/>
        </w:rPr>
      </w:pPr>
    </w:p>
    <w:p w:rsidR="00993B37" w:rsidRDefault="00993B37" w:rsidP="009E75F7">
      <w:pPr>
        <w:spacing w:line="360" w:lineRule="auto"/>
        <w:jc w:val="center"/>
        <w:rPr>
          <w:rFonts w:ascii="Times New Roman" w:hAnsi="Times New Roman" w:cs="Times New Roman"/>
          <w:caps/>
          <w:sz w:val="24"/>
          <w:szCs w:val="24"/>
          <w:lang w:val="pt-PT"/>
        </w:rPr>
      </w:pPr>
    </w:p>
    <w:p w:rsidR="00993B37" w:rsidRPr="00345341" w:rsidRDefault="00993B37" w:rsidP="009E75F7">
      <w:pPr>
        <w:spacing w:line="360" w:lineRule="auto"/>
        <w:jc w:val="center"/>
        <w:rPr>
          <w:rFonts w:ascii="Times New Roman" w:hAnsi="Times New Roman" w:cs="Times New Roman"/>
          <w:caps/>
          <w:sz w:val="24"/>
          <w:szCs w:val="24"/>
          <w:lang w:val="pt-PT"/>
        </w:rPr>
      </w:pPr>
    </w:p>
    <w:p w:rsidR="00345341" w:rsidRDefault="00345341" w:rsidP="009E75F7">
      <w:pPr>
        <w:spacing w:line="360" w:lineRule="auto"/>
        <w:jc w:val="center"/>
        <w:rPr>
          <w:rFonts w:ascii="Times New Roman" w:hAnsi="Times New Roman" w:cs="Times New Roman"/>
          <w:b/>
          <w:caps/>
          <w:sz w:val="24"/>
          <w:szCs w:val="24"/>
          <w:lang w:val="pt-PT"/>
        </w:rPr>
      </w:pPr>
    </w:p>
    <w:p w:rsidR="00345341" w:rsidRDefault="00345341" w:rsidP="009E75F7">
      <w:pPr>
        <w:spacing w:line="360" w:lineRule="auto"/>
        <w:jc w:val="center"/>
        <w:rPr>
          <w:rFonts w:ascii="Times New Roman" w:hAnsi="Times New Roman" w:cs="Times New Roman"/>
          <w:b/>
          <w:caps/>
          <w:sz w:val="24"/>
          <w:szCs w:val="24"/>
          <w:lang w:val="pt-PT"/>
        </w:rPr>
      </w:pPr>
    </w:p>
    <w:p w:rsidR="00345341" w:rsidRDefault="00345341" w:rsidP="009E75F7">
      <w:pPr>
        <w:spacing w:line="360" w:lineRule="auto"/>
        <w:jc w:val="center"/>
        <w:rPr>
          <w:rFonts w:ascii="Times New Roman" w:hAnsi="Times New Roman" w:cs="Times New Roman"/>
          <w:b/>
          <w:caps/>
          <w:sz w:val="24"/>
          <w:szCs w:val="24"/>
          <w:lang w:val="pt-PT"/>
        </w:rPr>
      </w:pPr>
    </w:p>
    <w:p w:rsidR="00993B37" w:rsidRDefault="00993B37" w:rsidP="009E75F7">
      <w:pPr>
        <w:spacing w:line="360" w:lineRule="auto"/>
        <w:jc w:val="center"/>
        <w:rPr>
          <w:rFonts w:ascii="Times New Roman" w:hAnsi="Times New Roman" w:cs="Times New Roman"/>
          <w:b/>
          <w:caps/>
          <w:sz w:val="24"/>
          <w:szCs w:val="24"/>
          <w:lang w:val="pt-PT"/>
        </w:rPr>
      </w:pPr>
    </w:p>
    <w:p w:rsidR="00D06980" w:rsidRDefault="00D06980" w:rsidP="009E75F7">
      <w:pPr>
        <w:spacing w:line="360" w:lineRule="auto"/>
        <w:jc w:val="center"/>
        <w:rPr>
          <w:rFonts w:ascii="Times New Roman" w:hAnsi="Times New Roman" w:cs="Times New Roman"/>
          <w:b/>
          <w:caps/>
          <w:sz w:val="24"/>
          <w:szCs w:val="24"/>
          <w:lang w:val="pt-PT"/>
        </w:rPr>
      </w:pPr>
    </w:p>
    <w:p w:rsidR="00D06980" w:rsidRDefault="00D06980" w:rsidP="009E75F7">
      <w:pPr>
        <w:spacing w:line="360" w:lineRule="auto"/>
        <w:jc w:val="center"/>
        <w:rPr>
          <w:rFonts w:ascii="Times New Roman" w:hAnsi="Times New Roman" w:cs="Times New Roman"/>
          <w:b/>
          <w:caps/>
          <w:sz w:val="24"/>
          <w:szCs w:val="24"/>
          <w:lang w:val="pt-PT"/>
        </w:rPr>
      </w:pPr>
    </w:p>
    <w:p w:rsidR="00345341" w:rsidRDefault="00345341" w:rsidP="009E75F7">
      <w:pPr>
        <w:spacing w:line="360" w:lineRule="auto"/>
        <w:jc w:val="center"/>
        <w:rPr>
          <w:rFonts w:ascii="Times New Roman" w:hAnsi="Times New Roman" w:cs="Times New Roman"/>
          <w:b/>
          <w:caps/>
          <w:sz w:val="24"/>
          <w:szCs w:val="24"/>
          <w:lang w:val="pt-PT"/>
        </w:rPr>
      </w:pPr>
    </w:p>
    <w:p w:rsidR="00345341" w:rsidRPr="00D06980" w:rsidRDefault="00993B37" w:rsidP="008C79B9">
      <w:pPr>
        <w:spacing w:line="360" w:lineRule="auto"/>
        <w:jc w:val="center"/>
        <w:rPr>
          <w:rFonts w:ascii="Times New Roman" w:hAnsi="Times New Roman" w:cs="Times New Roman"/>
          <w:caps/>
          <w:sz w:val="24"/>
          <w:szCs w:val="24"/>
          <w:lang w:val="pt-PT"/>
        </w:rPr>
      </w:pPr>
      <w:r w:rsidRPr="00D06980">
        <w:rPr>
          <w:rFonts w:ascii="Times New Roman" w:hAnsi="Times New Roman" w:cs="Times New Roman"/>
          <w:caps/>
          <w:sz w:val="24"/>
          <w:szCs w:val="24"/>
          <w:lang w:val="pt-PT"/>
        </w:rPr>
        <w:t>Rio de J</w:t>
      </w:r>
      <w:r w:rsidR="00345341" w:rsidRPr="00D06980">
        <w:rPr>
          <w:rFonts w:ascii="Times New Roman" w:hAnsi="Times New Roman" w:cs="Times New Roman"/>
          <w:caps/>
          <w:sz w:val="24"/>
          <w:szCs w:val="24"/>
          <w:lang w:val="pt-PT"/>
        </w:rPr>
        <w:t>aneiro</w:t>
      </w:r>
    </w:p>
    <w:p w:rsidR="008A6D15" w:rsidRDefault="008C79B9" w:rsidP="008A6D15">
      <w:pPr>
        <w:spacing w:line="360" w:lineRule="auto"/>
        <w:ind w:firstLine="708"/>
        <w:rPr>
          <w:rFonts w:ascii="Times New Roman" w:hAnsi="Times New Roman" w:cs="Times New Roman"/>
          <w:caps/>
          <w:sz w:val="24"/>
          <w:szCs w:val="24"/>
          <w:lang w:val="pt-PT"/>
        </w:rPr>
      </w:pPr>
      <w:r>
        <w:rPr>
          <w:rFonts w:ascii="Times New Roman" w:hAnsi="Times New Roman" w:cs="Times New Roman"/>
          <w:caps/>
          <w:sz w:val="24"/>
          <w:szCs w:val="24"/>
          <w:lang w:val="pt-PT"/>
        </w:rPr>
        <w:t xml:space="preserve">                                                         </w:t>
      </w:r>
      <w:r w:rsidR="00345341" w:rsidRPr="00345341">
        <w:rPr>
          <w:rFonts w:ascii="Times New Roman" w:hAnsi="Times New Roman" w:cs="Times New Roman"/>
          <w:caps/>
          <w:sz w:val="24"/>
          <w:szCs w:val="24"/>
          <w:lang w:val="pt-PT"/>
        </w:rPr>
        <w:t>2012</w:t>
      </w:r>
    </w:p>
    <w:p w:rsidR="0061490F" w:rsidRDefault="008A6D15" w:rsidP="008A6D15">
      <w:pPr>
        <w:spacing w:line="360" w:lineRule="auto"/>
        <w:ind w:firstLine="708"/>
        <w:rPr>
          <w:rFonts w:ascii="Times New Roman" w:hAnsi="Times New Roman" w:cs="Times New Roman"/>
          <w:caps/>
          <w:sz w:val="24"/>
          <w:szCs w:val="24"/>
          <w:lang w:val="pt-PT"/>
        </w:rPr>
      </w:pPr>
      <w:r>
        <w:rPr>
          <w:rFonts w:ascii="Times New Roman" w:hAnsi="Times New Roman" w:cs="Times New Roman"/>
          <w:caps/>
          <w:sz w:val="24"/>
          <w:szCs w:val="24"/>
          <w:lang w:val="pt-PT"/>
        </w:rPr>
        <w:lastRenderedPageBreak/>
        <w:t xml:space="preserve">                    </w:t>
      </w:r>
      <w:r w:rsidR="00993B37" w:rsidRPr="00993B37">
        <w:rPr>
          <w:rFonts w:ascii="Times New Roman" w:hAnsi="Times New Roman" w:cs="Times New Roman"/>
          <w:caps/>
          <w:sz w:val="24"/>
          <w:szCs w:val="24"/>
          <w:lang w:val="pt-PT"/>
        </w:rPr>
        <w:t>Universidade federal do rio de janeiro</w:t>
      </w:r>
    </w:p>
    <w:p w:rsidR="00993B37" w:rsidRDefault="008A6D15" w:rsidP="008A6D15">
      <w:pPr>
        <w:spacing w:line="360" w:lineRule="auto"/>
        <w:rPr>
          <w:rFonts w:ascii="Times New Roman" w:hAnsi="Times New Roman" w:cs="Times New Roman"/>
          <w:caps/>
          <w:sz w:val="24"/>
          <w:szCs w:val="24"/>
          <w:lang w:val="pt-PT"/>
        </w:rPr>
      </w:pPr>
      <w:r>
        <w:rPr>
          <w:rFonts w:ascii="Times New Roman" w:hAnsi="Times New Roman" w:cs="Times New Roman"/>
          <w:caps/>
          <w:sz w:val="24"/>
          <w:szCs w:val="24"/>
          <w:lang w:val="pt-PT"/>
        </w:rPr>
        <w:t xml:space="preserve">                                                </w:t>
      </w:r>
      <w:r w:rsidR="00993B37">
        <w:rPr>
          <w:rFonts w:ascii="Times New Roman" w:hAnsi="Times New Roman" w:cs="Times New Roman"/>
          <w:caps/>
          <w:sz w:val="24"/>
          <w:szCs w:val="24"/>
          <w:lang w:val="pt-PT"/>
        </w:rPr>
        <w:t>instituto de economia</w:t>
      </w:r>
    </w:p>
    <w:p w:rsidR="00993B37" w:rsidRDefault="008A6D15" w:rsidP="008A6D15">
      <w:pPr>
        <w:spacing w:line="360" w:lineRule="auto"/>
        <w:rPr>
          <w:rFonts w:ascii="Times New Roman" w:hAnsi="Times New Roman" w:cs="Times New Roman"/>
          <w:caps/>
          <w:sz w:val="24"/>
          <w:szCs w:val="24"/>
          <w:lang w:val="pt-PT"/>
        </w:rPr>
      </w:pPr>
      <w:r>
        <w:rPr>
          <w:rFonts w:ascii="Times New Roman" w:hAnsi="Times New Roman" w:cs="Times New Roman"/>
          <w:caps/>
          <w:sz w:val="24"/>
          <w:szCs w:val="24"/>
          <w:lang w:val="pt-PT"/>
        </w:rPr>
        <w:t xml:space="preserve">                                            </w:t>
      </w:r>
      <w:r w:rsidR="00993B37">
        <w:rPr>
          <w:rFonts w:ascii="Times New Roman" w:hAnsi="Times New Roman" w:cs="Times New Roman"/>
          <w:caps/>
          <w:sz w:val="24"/>
          <w:szCs w:val="24"/>
          <w:lang w:val="pt-PT"/>
        </w:rPr>
        <w:t>dissertação de mestrado</w:t>
      </w:r>
    </w:p>
    <w:p w:rsidR="00993B37" w:rsidRDefault="00993B37" w:rsidP="00345341">
      <w:pPr>
        <w:spacing w:line="360" w:lineRule="auto"/>
        <w:jc w:val="center"/>
        <w:rPr>
          <w:rFonts w:ascii="Times New Roman" w:hAnsi="Times New Roman" w:cs="Times New Roman"/>
          <w:caps/>
          <w:sz w:val="24"/>
          <w:szCs w:val="24"/>
          <w:lang w:val="pt-PT"/>
        </w:rPr>
      </w:pPr>
    </w:p>
    <w:p w:rsidR="00993B37" w:rsidRPr="00D06980" w:rsidRDefault="00993B37" w:rsidP="00D06980">
      <w:pPr>
        <w:spacing w:line="360" w:lineRule="auto"/>
        <w:rPr>
          <w:rFonts w:ascii="Times New Roman" w:hAnsi="Times New Roman" w:cs="Times New Roman"/>
          <w:caps/>
          <w:sz w:val="24"/>
          <w:szCs w:val="24"/>
          <w:lang w:val="pt-PT"/>
        </w:rPr>
      </w:pPr>
    </w:p>
    <w:p w:rsidR="00D06980" w:rsidRDefault="00D06980" w:rsidP="00D06980">
      <w:pPr>
        <w:spacing w:line="360" w:lineRule="auto"/>
        <w:jc w:val="center"/>
        <w:rPr>
          <w:rFonts w:ascii="Times New Roman" w:hAnsi="Times New Roman" w:cs="Times New Roman"/>
          <w:b/>
          <w:caps/>
          <w:sz w:val="24"/>
          <w:szCs w:val="24"/>
          <w:lang w:val="pt-PT"/>
        </w:rPr>
      </w:pPr>
    </w:p>
    <w:p w:rsidR="00D06980" w:rsidRDefault="00D06980" w:rsidP="00D06980">
      <w:pPr>
        <w:spacing w:line="360" w:lineRule="auto"/>
        <w:jc w:val="center"/>
        <w:rPr>
          <w:rFonts w:ascii="Times New Roman" w:hAnsi="Times New Roman" w:cs="Times New Roman"/>
          <w:b/>
          <w:caps/>
          <w:sz w:val="24"/>
          <w:szCs w:val="24"/>
          <w:lang w:val="pt-PT"/>
        </w:rPr>
      </w:pPr>
    </w:p>
    <w:p w:rsidR="00D06980" w:rsidRDefault="00D06980" w:rsidP="00D06980">
      <w:pPr>
        <w:spacing w:line="360" w:lineRule="auto"/>
        <w:jc w:val="center"/>
        <w:rPr>
          <w:rFonts w:ascii="Times New Roman" w:hAnsi="Times New Roman" w:cs="Times New Roman"/>
          <w:b/>
          <w:caps/>
          <w:sz w:val="24"/>
          <w:szCs w:val="24"/>
          <w:lang w:val="pt-PT"/>
        </w:rPr>
      </w:pPr>
    </w:p>
    <w:p w:rsidR="006D040F" w:rsidRPr="00D06980" w:rsidRDefault="006D040F" w:rsidP="00D06980">
      <w:pPr>
        <w:spacing w:line="360" w:lineRule="auto"/>
        <w:jc w:val="center"/>
        <w:rPr>
          <w:rFonts w:ascii="Times New Roman" w:hAnsi="Times New Roman" w:cs="Times New Roman"/>
          <w:b/>
          <w:caps/>
          <w:sz w:val="24"/>
          <w:szCs w:val="24"/>
          <w:lang w:val="pt-PT"/>
        </w:rPr>
      </w:pPr>
      <w:r w:rsidRPr="00D06980">
        <w:rPr>
          <w:rFonts w:ascii="Times New Roman" w:hAnsi="Times New Roman" w:cs="Times New Roman"/>
          <w:b/>
          <w:caps/>
          <w:sz w:val="24"/>
          <w:szCs w:val="24"/>
          <w:lang w:val="pt-PT"/>
        </w:rPr>
        <w:t xml:space="preserve">adaptação regulatória na indústria de biocombustíveis </w:t>
      </w:r>
    </w:p>
    <w:p w:rsidR="00D06980" w:rsidRPr="00D06980" w:rsidRDefault="00D06980" w:rsidP="00D06980">
      <w:pPr>
        <w:spacing w:line="360" w:lineRule="auto"/>
        <w:jc w:val="center"/>
        <w:rPr>
          <w:rFonts w:ascii="Times New Roman" w:hAnsi="Times New Roman" w:cs="Times New Roman"/>
          <w:caps/>
          <w:sz w:val="24"/>
          <w:szCs w:val="24"/>
          <w:lang w:val="pt-PT"/>
        </w:rPr>
      </w:pPr>
    </w:p>
    <w:p w:rsidR="006D040F" w:rsidRPr="00D06980" w:rsidRDefault="00D06980" w:rsidP="00345341">
      <w:pPr>
        <w:spacing w:line="360" w:lineRule="auto"/>
        <w:jc w:val="center"/>
        <w:rPr>
          <w:rFonts w:ascii="Times New Roman" w:hAnsi="Times New Roman" w:cs="Times New Roman"/>
          <w:sz w:val="24"/>
          <w:szCs w:val="24"/>
          <w:lang w:val="pt-PT"/>
        </w:rPr>
      </w:pPr>
      <w:r>
        <w:rPr>
          <w:rFonts w:ascii="Times New Roman" w:hAnsi="Times New Roman" w:cs="Times New Roman"/>
          <w:sz w:val="24"/>
          <w:szCs w:val="24"/>
          <w:lang w:val="pt-PT"/>
        </w:rPr>
        <w:t>Inaiê Takaes S</w:t>
      </w:r>
      <w:r w:rsidR="006D040F" w:rsidRPr="00D06980">
        <w:rPr>
          <w:rFonts w:ascii="Times New Roman" w:hAnsi="Times New Roman" w:cs="Times New Roman"/>
          <w:sz w:val="24"/>
          <w:szCs w:val="24"/>
          <w:lang w:val="pt-PT"/>
        </w:rPr>
        <w:t>antos</w:t>
      </w:r>
    </w:p>
    <w:p w:rsidR="006D040F" w:rsidRDefault="006D040F" w:rsidP="00345341">
      <w:pPr>
        <w:spacing w:line="360" w:lineRule="auto"/>
        <w:jc w:val="center"/>
        <w:rPr>
          <w:rFonts w:ascii="Times New Roman" w:hAnsi="Times New Roman" w:cs="Times New Roman"/>
          <w:b/>
          <w:caps/>
          <w:sz w:val="24"/>
          <w:szCs w:val="24"/>
          <w:lang w:val="pt-PT"/>
        </w:rPr>
      </w:pPr>
    </w:p>
    <w:p w:rsidR="00993B37" w:rsidRDefault="00993B37" w:rsidP="00D06980">
      <w:pPr>
        <w:tabs>
          <w:tab w:val="left" w:pos="3544"/>
        </w:tabs>
        <w:ind w:left="3827"/>
        <w:jc w:val="right"/>
        <w:rPr>
          <w:rFonts w:ascii="Times New Roman" w:hAnsi="Times New Roman" w:cs="Times New Roman"/>
          <w:sz w:val="24"/>
          <w:szCs w:val="24"/>
          <w:lang w:val="pt-PT"/>
        </w:rPr>
      </w:pPr>
    </w:p>
    <w:p w:rsidR="00D06980" w:rsidRDefault="00D06980" w:rsidP="00D06980">
      <w:pPr>
        <w:tabs>
          <w:tab w:val="left" w:pos="3544"/>
        </w:tabs>
        <w:ind w:left="3827"/>
        <w:rPr>
          <w:rFonts w:ascii="Times New Roman" w:hAnsi="Times New Roman" w:cs="Times New Roman"/>
          <w:sz w:val="24"/>
          <w:szCs w:val="24"/>
          <w:lang w:val="pt-PT"/>
        </w:rPr>
      </w:pPr>
    </w:p>
    <w:p w:rsidR="00D06980" w:rsidRDefault="00D06980" w:rsidP="00D06980">
      <w:pPr>
        <w:tabs>
          <w:tab w:val="left" w:pos="3544"/>
        </w:tabs>
        <w:ind w:left="3827"/>
        <w:rPr>
          <w:rFonts w:ascii="Times New Roman" w:hAnsi="Times New Roman" w:cs="Times New Roman"/>
          <w:sz w:val="24"/>
          <w:szCs w:val="24"/>
          <w:lang w:val="pt-PT"/>
        </w:rPr>
      </w:pPr>
    </w:p>
    <w:p w:rsidR="00D06980" w:rsidRDefault="00D06980" w:rsidP="00D06980">
      <w:pPr>
        <w:tabs>
          <w:tab w:val="left" w:pos="3544"/>
        </w:tabs>
        <w:ind w:left="3827"/>
        <w:rPr>
          <w:rFonts w:ascii="Times New Roman" w:hAnsi="Times New Roman" w:cs="Times New Roman"/>
          <w:sz w:val="24"/>
          <w:szCs w:val="24"/>
          <w:lang w:val="pt-PT"/>
        </w:rPr>
      </w:pPr>
    </w:p>
    <w:p w:rsidR="00E85004" w:rsidRDefault="00E85004" w:rsidP="00E85004">
      <w:pPr>
        <w:tabs>
          <w:tab w:val="left" w:pos="3544"/>
        </w:tabs>
        <w:ind w:left="3827"/>
        <w:rPr>
          <w:rFonts w:ascii="Times New Roman" w:hAnsi="Times New Roman" w:cs="Times New Roman"/>
          <w:sz w:val="24"/>
          <w:szCs w:val="24"/>
          <w:lang w:val="pt-PT"/>
        </w:rPr>
      </w:pPr>
      <w:r>
        <w:rPr>
          <w:rFonts w:ascii="Times New Roman" w:hAnsi="Times New Roman" w:cs="Times New Roman"/>
          <w:sz w:val="24"/>
          <w:szCs w:val="24"/>
          <w:lang w:val="pt-PT"/>
        </w:rPr>
        <w:t>Dissertação de Mestrado apresentada ao Corpo Docente do Instituto de Economia da Universidade Federal do Rio de Janeiro como parte dos requisitos necessários à obten</w:t>
      </w:r>
      <w:r w:rsidR="00413A55">
        <w:rPr>
          <w:rFonts w:ascii="Times New Roman" w:hAnsi="Times New Roman" w:cs="Times New Roman"/>
          <w:sz w:val="24"/>
          <w:szCs w:val="24"/>
          <w:lang w:val="pt-PT"/>
        </w:rPr>
        <w:t>ção do título de MESTRE em Ciências, em Economia</w:t>
      </w:r>
      <w:r>
        <w:rPr>
          <w:rFonts w:ascii="Times New Roman" w:hAnsi="Times New Roman" w:cs="Times New Roman"/>
          <w:sz w:val="24"/>
          <w:szCs w:val="24"/>
          <w:lang w:val="pt-PT"/>
        </w:rPr>
        <w:t>.</w:t>
      </w:r>
    </w:p>
    <w:p w:rsidR="00CA48F5" w:rsidRDefault="00CA48F5" w:rsidP="00D06980">
      <w:pPr>
        <w:spacing w:line="360" w:lineRule="auto"/>
        <w:rPr>
          <w:rFonts w:ascii="Times New Roman" w:hAnsi="Times New Roman" w:cs="Times New Roman"/>
          <w:sz w:val="24"/>
          <w:szCs w:val="24"/>
          <w:lang w:val="pt-PT"/>
        </w:rPr>
      </w:pPr>
    </w:p>
    <w:p w:rsidR="006D040F" w:rsidRDefault="006D040F" w:rsidP="00D06980">
      <w:pPr>
        <w:spacing w:line="360" w:lineRule="auto"/>
        <w:rPr>
          <w:rFonts w:ascii="Times New Roman" w:hAnsi="Times New Roman" w:cs="Times New Roman"/>
          <w:sz w:val="24"/>
          <w:szCs w:val="24"/>
          <w:lang w:val="pt-PT"/>
        </w:rPr>
      </w:pPr>
    </w:p>
    <w:p w:rsidR="00E85004" w:rsidRDefault="00E85004" w:rsidP="00D06980">
      <w:pPr>
        <w:spacing w:line="360" w:lineRule="auto"/>
        <w:rPr>
          <w:rFonts w:ascii="Times New Roman" w:hAnsi="Times New Roman" w:cs="Times New Roman"/>
          <w:sz w:val="24"/>
          <w:szCs w:val="24"/>
          <w:lang w:val="pt-PT"/>
        </w:rPr>
      </w:pPr>
    </w:p>
    <w:p w:rsidR="00E85004" w:rsidRDefault="00E85004" w:rsidP="00D06980">
      <w:pPr>
        <w:spacing w:line="360" w:lineRule="auto"/>
        <w:rPr>
          <w:rFonts w:ascii="Times New Roman" w:hAnsi="Times New Roman" w:cs="Times New Roman"/>
          <w:sz w:val="24"/>
          <w:szCs w:val="24"/>
          <w:lang w:val="pt-PT"/>
        </w:rPr>
      </w:pPr>
    </w:p>
    <w:p w:rsidR="00E85004" w:rsidRDefault="00E85004" w:rsidP="00D06980">
      <w:pPr>
        <w:spacing w:line="360" w:lineRule="auto"/>
        <w:rPr>
          <w:rFonts w:ascii="Times New Roman" w:hAnsi="Times New Roman" w:cs="Times New Roman"/>
          <w:sz w:val="24"/>
          <w:szCs w:val="24"/>
          <w:lang w:val="pt-PT"/>
        </w:rPr>
      </w:pPr>
    </w:p>
    <w:p w:rsidR="006D040F" w:rsidRDefault="00D06980" w:rsidP="00D06980">
      <w:pPr>
        <w:spacing w:line="360" w:lineRule="auto"/>
        <w:jc w:val="center"/>
        <w:rPr>
          <w:rFonts w:ascii="Times New Roman" w:hAnsi="Times New Roman" w:cs="Times New Roman"/>
          <w:sz w:val="24"/>
          <w:szCs w:val="24"/>
          <w:lang w:val="pt-PT"/>
        </w:rPr>
      </w:pPr>
      <w:r>
        <w:rPr>
          <w:rFonts w:ascii="Times New Roman" w:hAnsi="Times New Roman" w:cs="Times New Roman"/>
          <w:sz w:val="24"/>
          <w:szCs w:val="24"/>
          <w:lang w:val="pt-PT"/>
        </w:rPr>
        <w:t xml:space="preserve">Orientador: </w:t>
      </w:r>
      <w:r w:rsidR="006D040F">
        <w:rPr>
          <w:rFonts w:ascii="Times New Roman" w:hAnsi="Times New Roman" w:cs="Times New Roman"/>
          <w:sz w:val="24"/>
          <w:szCs w:val="24"/>
          <w:lang w:val="pt-PT"/>
        </w:rPr>
        <w:t>Prof. Dr. Helder</w:t>
      </w:r>
      <w:r>
        <w:rPr>
          <w:rFonts w:ascii="Times New Roman" w:hAnsi="Times New Roman" w:cs="Times New Roman"/>
          <w:sz w:val="24"/>
          <w:szCs w:val="24"/>
          <w:lang w:val="pt-PT"/>
        </w:rPr>
        <w:t xml:space="preserve"> Queiroz Pinto Junior</w:t>
      </w:r>
    </w:p>
    <w:p w:rsidR="006D040F" w:rsidRDefault="00D06980" w:rsidP="006D040F">
      <w:pPr>
        <w:spacing w:line="360" w:lineRule="auto"/>
        <w:jc w:val="center"/>
        <w:rPr>
          <w:rFonts w:ascii="Times New Roman" w:hAnsi="Times New Roman" w:cs="Times New Roman"/>
          <w:sz w:val="24"/>
          <w:szCs w:val="24"/>
          <w:lang w:val="pt-PT"/>
        </w:rPr>
      </w:pPr>
      <w:r>
        <w:rPr>
          <w:rFonts w:ascii="Times New Roman" w:hAnsi="Times New Roman" w:cs="Times New Roman"/>
          <w:sz w:val="24"/>
          <w:szCs w:val="24"/>
          <w:lang w:val="pt-PT"/>
        </w:rPr>
        <w:t xml:space="preserve">Co-orientador: </w:t>
      </w:r>
      <w:r w:rsidR="006D040F">
        <w:rPr>
          <w:rFonts w:ascii="Times New Roman" w:hAnsi="Times New Roman" w:cs="Times New Roman"/>
          <w:sz w:val="24"/>
          <w:szCs w:val="24"/>
          <w:lang w:val="pt-PT"/>
        </w:rPr>
        <w:t>Prof. Dr. José Vitor Bomtempo Ma</w:t>
      </w:r>
      <w:r>
        <w:rPr>
          <w:rFonts w:ascii="Times New Roman" w:hAnsi="Times New Roman" w:cs="Times New Roman"/>
          <w:sz w:val="24"/>
          <w:szCs w:val="24"/>
          <w:lang w:val="pt-PT"/>
        </w:rPr>
        <w:t>rtins</w:t>
      </w:r>
    </w:p>
    <w:p w:rsidR="006D040F" w:rsidRDefault="006D040F" w:rsidP="006D040F">
      <w:pPr>
        <w:spacing w:line="360" w:lineRule="auto"/>
        <w:jc w:val="center"/>
        <w:rPr>
          <w:rFonts w:ascii="Times New Roman" w:hAnsi="Times New Roman" w:cs="Times New Roman"/>
          <w:sz w:val="24"/>
          <w:szCs w:val="24"/>
          <w:lang w:val="pt-PT"/>
        </w:rPr>
      </w:pPr>
    </w:p>
    <w:p w:rsidR="00D06980" w:rsidRDefault="00D06980" w:rsidP="006D040F">
      <w:pPr>
        <w:spacing w:line="360" w:lineRule="auto"/>
        <w:jc w:val="center"/>
        <w:rPr>
          <w:rFonts w:ascii="Times New Roman" w:hAnsi="Times New Roman" w:cs="Times New Roman"/>
          <w:sz w:val="24"/>
          <w:szCs w:val="24"/>
          <w:lang w:val="pt-PT"/>
        </w:rPr>
      </w:pPr>
    </w:p>
    <w:p w:rsidR="00D06980" w:rsidRDefault="00D06980" w:rsidP="006D040F">
      <w:pPr>
        <w:spacing w:line="360" w:lineRule="auto"/>
        <w:jc w:val="center"/>
        <w:rPr>
          <w:rFonts w:ascii="Times New Roman" w:hAnsi="Times New Roman" w:cs="Times New Roman"/>
          <w:sz w:val="24"/>
          <w:szCs w:val="24"/>
          <w:lang w:val="pt-PT"/>
        </w:rPr>
      </w:pPr>
    </w:p>
    <w:p w:rsidR="00D06980" w:rsidRDefault="00D06980" w:rsidP="006D040F">
      <w:pPr>
        <w:spacing w:line="360" w:lineRule="auto"/>
        <w:jc w:val="center"/>
        <w:rPr>
          <w:rFonts w:ascii="Times New Roman" w:hAnsi="Times New Roman" w:cs="Times New Roman"/>
          <w:sz w:val="24"/>
          <w:szCs w:val="24"/>
          <w:lang w:val="pt-PT"/>
        </w:rPr>
      </w:pPr>
    </w:p>
    <w:p w:rsidR="00D06980" w:rsidRDefault="00D06980" w:rsidP="00E85004">
      <w:pPr>
        <w:spacing w:line="360" w:lineRule="auto"/>
        <w:rPr>
          <w:rFonts w:ascii="Times New Roman" w:hAnsi="Times New Roman" w:cs="Times New Roman"/>
          <w:sz w:val="24"/>
          <w:szCs w:val="24"/>
          <w:lang w:val="pt-PT"/>
        </w:rPr>
      </w:pPr>
    </w:p>
    <w:p w:rsidR="00D06980" w:rsidRDefault="00D06980" w:rsidP="006D040F">
      <w:pPr>
        <w:spacing w:line="360" w:lineRule="auto"/>
        <w:jc w:val="center"/>
        <w:rPr>
          <w:rFonts w:ascii="Times New Roman" w:hAnsi="Times New Roman" w:cs="Times New Roman"/>
          <w:sz w:val="24"/>
          <w:szCs w:val="24"/>
          <w:lang w:val="pt-PT"/>
        </w:rPr>
      </w:pPr>
    </w:p>
    <w:p w:rsidR="006D040F" w:rsidRDefault="006D040F" w:rsidP="006D040F">
      <w:pPr>
        <w:spacing w:line="360" w:lineRule="auto"/>
        <w:jc w:val="center"/>
        <w:rPr>
          <w:rFonts w:ascii="Times New Roman" w:hAnsi="Times New Roman" w:cs="Times New Roman"/>
          <w:sz w:val="24"/>
          <w:szCs w:val="24"/>
          <w:lang w:val="pt-PT"/>
        </w:rPr>
      </w:pPr>
      <w:r>
        <w:rPr>
          <w:rFonts w:ascii="Times New Roman" w:hAnsi="Times New Roman" w:cs="Times New Roman"/>
          <w:sz w:val="24"/>
          <w:szCs w:val="24"/>
          <w:lang w:val="pt-PT"/>
        </w:rPr>
        <w:t>RIO DE JANEIRO</w:t>
      </w:r>
    </w:p>
    <w:p w:rsidR="008B051C" w:rsidRDefault="006D040F" w:rsidP="00CA48F5">
      <w:pPr>
        <w:spacing w:line="360" w:lineRule="auto"/>
        <w:jc w:val="center"/>
        <w:rPr>
          <w:rFonts w:ascii="Times New Roman" w:hAnsi="Times New Roman" w:cs="Times New Roman"/>
          <w:sz w:val="24"/>
          <w:szCs w:val="24"/>
          <w:lang w:val="pt-PT"/>
        </w:rPr>
        <w:sectPr w:rsidR="008B051C" w:rsidSect="006950DB">
          <w:headerReference w:type="default" r:id="rId8"/>
          <w:pgSz w:w="11906" w:h="16838"/>
          <w:pgMar w:top="1701" w:right="1134" w:bottom="1134" w:left="1701" w:header="708" w:footer="709" w:gutter="0"/>
          <w:pgNumType w:start="14"/>
          <w:cols w:space="708"/>
          <w:docGrid w:linePitch="360"/>
        </w:sectPr>
      </w:pPr>
      <w:r>
        <w:rPr>
          <w:rFonts w:ascii="Times New Roman" w:hAnsi="Times New Roman" w:cs="Times New Roman"/>
          <w:sz w:val="24"/>
          <w:szCs w:val="24"/>
          <w:lang w:val="pt-PT"/>
        </w:rPr>
        <w:t>2012</w:t>
      </w:r>
    </w:p>
    <w:p w:rsidR="00D06980" w:rsidRDefault="00D06980" w:rsidP="00CA48F5">
      <w:pPr>
        <w:spacing w:line="360" w:lineRule="auto"/>
        <w:jc w:val="center"/>
        <w:rPr>
          <w:rFonts w:ascii="Times New Roman" w:hAnsi="Times New Roman" w:cs="Times New Roman"/>
          <w:sz w:val="24"/>
          <w:szCs w:val="24"/>
          <w:lang w:val="pt-PT"/>
        </w:rPr>
      </w:pPr>
    </w:p>
    <w:p w:rsidR="00D06980" w:rsidRDefault="00D06980" w:rsidP="00CA48F5">
      <w:pPr>
        <w:spacing w:line="360" w:lineRule="auto"/>
        <w:jc w:val="center"/>
        <w:rPr>
          <w:rFonts w:ascii="Times New Roman" w:hAnsi="Times New Roman" w:cs="Times New Roman"/>
          <w:sz w:val="24"/>
          <w:szCs w:val="24"/>
          <w:lang w:val="pt-PT"/>
        </w:rPr>
      </w:pPr>
    </w:p>
    <w:p w:rsidR="008A6D15" w:rsidRDefault="008A6D15" w:rsidP="008A6D15">
      <w:pPr>
        <w:spacing w:line="480" w:lineRule="auto"/>
        <w:rPr>
          <w:b/>
        </w:rPr>
      </w:pPr>
    </w:p>
    <w:p w:rsidR="008A6D15" w:rsidRDefault="008A6D15" w:rsidP="008A6D15">
      <w:pPr>
        <w:spacing w:line="480" w:lineRule="auto"/>
        <w:rPr>
          <w:b/>
        </w:rPr>
      </w:pPr>
    </w:p>
    <w:p w:rsidR="008A6D15" w:rsidRDefault="008A6D15" w:rsidP="008A6D15">
      <w:pPr>
        <w:spacing w:line="480" w:lineRule="auto"/>
        <w:jc w:val="center"/>
        <w:rPr>
          <w:b/>
        </w:rPr>
      </w:pPr>
    </w:p>
    <w:p w:rsidR="008A6D15" w:rsidRPr="008A6D15" w:rsidRDefault="008A6D15" w:rsidP="008A6D15">
      <w:pPr>
        <w:spacing w:line="480" w:lineRule="auto"/>
        <w:jc w:val="center"/>
        <w:rPr>
          <w:rFonts w:ascii="Times New Roman" w:hAnsi="Times New Roman" w:cs="Times New Roman"/>
          <w:b/>
          <w:sz w:val="24"/>
          <w:szCs w:val="24"/>
        </w:rPr>
      </w:pPr>
      <w:r w:rsidRPr="008A6D15">
        <w:rPr>
          <w:rFonts w:ascii="Times New Roman" w:hAnsi="Times New Roman" w:cs="Times New Roman"/>
          <w:b/>
          <w:sz w:val="24"/>
          <w:szCs w:val="24"/>
        </w:rPr>
        <w:t>FICHA CATALOGRÁFICA</w:t>
      </w:r>
      <w:r w:rsidRPr="008A6D15">
        <w:rPr>
          <w:rFonts w:ascii="Times New Roman" w:hAnsi="Times New Roman" w:cs="Times New Roman"/>
          <w:b/>
          <w:sz w:val="24"/>
          <w:szCs w:val="24"/>
        </w:rPr>
        <w:tab/>
      </w:r>
    </w:p>
    <w:p w:rsidR="008A6D15" w:rsidRDefault="00EE56DA" w:rsidP="008A6D15">
      <w:pPr>
        <w:spacing w:line="480" w:lineRule="auto"/>
        <w:jc w:val="center"/>
        <w:rPr>
          <w:b/>
        </w:rPr>
      </w:pPr>
      <w:r w:rsidRPr="00EE56DA">
        <w:rPr>
          <w:rFonts w:ascii="Times New Roman" w:hAnsi="Times New Roman" w:cs="Times New Roman"/>
          <w:b/>
          <w:sz w:val="24"/>
          <w:szCs w:val="24"/>
        </w:rPr>
      </w:r>
      <w:r w:rsidRPr="00EE56DA">
        <w:rPr>
          <w:rFonts w:ascii="Times New Roman" w:hAnsi="Times New Roman" w:cs="Times New Roman"/>
          <w:b/>
          <w:sz w:val="24"/>
          <w:szCs w:val="24"/>
        </w:rPr>
        <w:pict>
          <v:shapetype id="_x0000_t202" coordsize="21600,21600" o:spt="202" path="m,l,21600r21600,l21600,xe">
            <v:stroke joinstyle="miter"/>
            <v:path gradientshapeok="t" o:connecttype="rect"/>
          </v:shapetype>
          <v:shape id="_x0000_s1044" type="#_x0000_t202" style="width:396.75pt;height:283.15pt;mso-position-horizontal-relative:char;mso-position-vertical-relative:line">
            <v:textbox style="mso-next-textbox:#_x0000_s1044" inset="5mm">
              <w:txbxContent>
                <w:p w:rsidR="008A6D15" w:rsidRPr="008A6D15" w:rsidRDefault="008A6D15" w:rsidP="008A6D15">
                  <w:pPr>
                    <w:spacing w:line="360" w:lineRule="auto"/>
                    <w:rPr>
                      <w:rFonts w:ascii="Times New Roman" w:hAnsi="Times New Roman" w:cs="Times New Roman"/>
                      <w:sz w:val="24"/>
                      <w:szCs w:val="24"/>
                    </w:rPr>
                  </w:pPr>
                </w:p>
                <w:p w:rsidR="008A6D15" w:rsidRPr="008A6D15" w:rsidRDefault="008A6D15" w:rsidP="008A6D15">
                  <w:pPr>
                    <w:rPr>
                      <w:rFonts w:ascii="Times New Roman" w:hAnsi="Times New Roman" w:cs="Times New Roman"/>
                      <w:sz w:val="24"/>
                      <w:szCs w:val="24"/>
                    </w:rPr>
                  </w:pPr>
                  <w:r w:rsidRPr="008A6D15">
                    <w:rPr>
                      <w:rFonts w:ascii="Times New Roman" w:hAnsi="Times New Roman" w:cs="Times New Roman"/>
                      <w:sz w:val="24"/>
                      <w:szCs w:val="24"/>
                    </w:rPr>
                    <w:t>S237        Santos, Inaiê Takaes</w:t>
                  </w:r>
                  <w:r w:rsidRPr="008A6D15">
                    <w:rPr>
                      <w:rFonts w:ascii="Times New Roman" w:hAnsi="Times New Roman" w:cs="Times New Roman"/>
                      <w:color w:val="000000"/>
                      <w:sz w:val="24"/>
                      <w:szCs w:val="24"/>
                    </w:rPr>
                    <w:t>.</w:t>
                  </w:r>
                </w:p>
                <w:p w:rsidR="008A6D15" w:rsidRPr="008A6D15" w:rsidRDefault="008A6D15" w:rsidP="008A6D15">
                  <w:pPr>
                    <w:rPr>
                      <w:rFonts w:ascii="Times New Roman" w:hAnsi="Times New Roman" w:cs="Times New Roman"/>
                      <w:sz w:val="24"/>
                      <w:szCs w:val="24"/>
                    </w:rPr>
                  </w:pPr>
                  <w:r w:rsidRPr="008A6D15">
                    <w:rPr>
                      <w:rFonts w:ascii="Times New Roman" w:hAnsi="Times New Roman" w:cs="Times New Roman"/>
                      <w:sz w:val="24"/>
                      <w:szCs w:val="24"/>
                    </w:rPr>
                    <w:t xml:space="preserve">                    Adaptação regulatória na indústria de biocombustíveis /</w:t>
                  </w:r>
                </w:p>
                <w:p w:rsidR="008A6D15" w:rsidRPr="008A6D15" w:rsidRDefault="008A6D15" w:rsidP="008A6D15">
                  <w:pPr>
                    <w:rPr>
                      <w:rFonts w:ascii="Times New Roman" w:hAnsi="Times New Roman" w:cs="Times New Roman"/>
                      <w:sz w:val="24"/>
                      <w:szCs w:val="24"/>
                    </w:rPr>
                  </w:pPr>
                  <w:r w:rsidRPr="008A6D15">
                    <w:rPr>
                      <w:rFonts w:ascii="Times New Roman" w:hAnsi="Times New Roman" w:cs="Times New Roman"/>
                      <w:sz w:val="24"/>
                      <w:szCs w:val="24"/>
                    </w:rPr>
                    <w:t xml:space="preserve">                Inaiê Takaes Santos. Rio de Janeiro, 2012.</w:t>
                  </w:r>
                </w:p>
                <w:p w:rsidR="008A6D15" w:rsidRPr="008A6D15" w:rsidRDefault="008A6D15" w:rsidP="008A6D15">
                  <w:pPr>
                    <w:rPr>
                      <w:rFonts w:ascii="Times New Roman" w:hAnsi="Times New Roman" w:cs="Times New Roman"/>
                      <w:sz w:val="24"/>
                      <w:szCs w:val="24"/>
                    </w:rPr>
                  </w:pPr>
                  <w:r w:rsidRPr="008A6D15">
                    <w:rPr>
                      <w:rFonts w:ascii="Times New Roman" w:hAnsi="Times New Roman" w:cs="Times New Roman"/>
                      <w:sz w:val="24"/>
                      <w:szCs w:val="24"/>
                    </w:rPr>
                    <w:t xml:space="preserve">                    </w:t>
                  </w:r>
                  <w:r>
                    <w:rPr>
                      <w:rFonts w:ascii="Times New Roman" w:hAnsi="Times New Roman" w:cs="Times New Roman"/>
                      <w:sz w:val="24"/>
                      <w:szCs w:val="24"/>
                    </w:rPr>
                    <w:t>131</w:t>
                  </w:r>
                  <w:r w:rsidRPr="008A6D15">
                    <w:rPr>
                      <w:rFonts w:ascii="Times New Roman" w:hAnsi="Times New Roman" w:cs="Times New Roman"/>
                      <w:sz w:val="24"/>
                      <w:szCs w:val="24"/>
                    </w:rPr>
                    <w:t xml:space="preserve"> f. : </w:t>
                  </w:r>
                  <w:smartTag w:uri="urn:schemas-microsoft-com:office:smarttags" w:element="metricconverter">
                    <w:smartTagPr>
                      <w:attr w:name="ProductID" w:val="30 cm"/>
                    </w:smartTagPr>
                    <w:r w:rsidRPr="008A6D15">
                      <w:rPr>
                        <w:rFonts w:ascii="Times New Roman" w:hAnsi="Times New Roman" w:cs="Times New Roman"/>
                        <w:sz w:val="24"/>
                        <w:szCs w:val="24"/>
                      </w:rPr>
                      <w:t>30 cm</w:t>
                    </w:r>
                  </w:smartTag>
                  <w:r w:rsidRPr="008A6D15">
                    <w:rPr>
                      <w:rFonts w:ascii="Times New Roman" w:hAnsi="Times New Roman" w:cs="Times New Roman"/>
                      <w:sz w:val="24"/>
                      <w:szCs w:val="24"/>
                    </w:rPr>
                    <w:t>.</w:t>
                  </w:r>
                </w:p>
                <w:p w:rsidR="008A6D15" w:rsidRPr="008A6D15" w:rsidRDefault="008A6D15" w:rsidP="008A6D15">
                  <w:pPr>
                    <w:rPr>
                      <w:rFonts w:ascii="Times New Roman" w:hAnsi="Times New Roman" w:cs="Times New Roman"/>
                      <w:sz w:val="24"/>
                      <w:szCs w:val="24"/>
                    </w:rPr>
                  </w:pPr>
                </w:p>
                <w:p w:rsidR="008A6D15" w:rsidRPr="008A6D15" w:rsidRDefault="008A6D15" w:rsidP="008A6D15">
                  <w:pPr>
                    <w:rPr>
                      <w:rFonts w:ascii="Times New Roman" w:hAnsi="Times New Roman" w:cs="Times New Roman"/>
                      <w:sz w:val="24"/>
                      <w:szCs w:val="24"/>
                    </w:rPr>
                  </w:pPr>
                  <w:r w:rsidRPr="008A6D15">
                    <w:rPr>
                      <w:rFonts w:ascii="Times New Roman" w:hAnsi="Times New Roman" w:cs="Times New Roman"/>
                      <w:sz w:val="24"/>
                      <w:szCs w:val="24"/>
                    </w:rPr>
                    <w:t xml:space="preserve">                    Orientador: Helder Queiroz Pinto Junior.</w:t>
                  </w:r>
                </w:p>
                <w:p w:rsidR="008A6D15" w:rsidRPr="008A6D15" w:rsidRDefault="008A6D15" w:rsidP="008A6D15">
                  <w:pPr>
                    <w:rPr>
                      <w:rFonts w:ascii="Times New Roman" w:hAnsi="Times New Roman" w:cs="Times New Roman"/>
                      <w:sz w:val="24"/>
                      <w:szCs w:val="24"/>
                    </w:rPr>
                  </w:pPr>
                  <w:r w:rsidRPr="008A6D15">
                    <w:rPr>
                      <w:rFonts w:ascii="Times New Roman" w:hAnsi="Times New Roman" w:cs="Times New Roman"/>
                      <w:sz w:val="24"/>
                      <w:szCs w:val="24"/>
                    </w:rPr>
                    <w:t xml:space="preserve">                    Coorientador: José Vitor Bomtempo Martins.</w:t>
                  </w:r>
                </w:p>
                <w:p w:rsidR="008A6D15" w:rsidRPr="008A6D15" w:rsidRDefault="008A6D15" w:rsidP="008A6D15">
                  <w:pPr>
                    <w:autoSpaceDE w:val="0"/>
                    <w:autoSpaceDN w:val="0"/>
                    <w:adjustRightInd w:val="0"/>
                    <w:rPr>
                      <w:rFonts w:ascii="Times New Roman" w:hAnsi="Times New Roman" w:cs="Times New Roman"/>
                      <w:sz w:val="24"/>
                      <w:szCs w:val="24"/>
                    </w:rPr>
                  </w:pPr>
                  <w:r w:rsidRPr="008A6D15">
                    <w:rPr>
                      <w:rFonts w:ascii="Times New Roman" w:hAnsi="Times New Roman" w:cs="Times New Roman"/>
                      <w:sz w:val="24"/>
                      <w:szCs w:val="24"/>
                    </w:rPr>
                    <w:t xml:space="preserve">                    Dissertação (mestrado) – Universidade Federal do Rio de</w:t>
                  </w:r>
                </w:p>
                <w:p w:rsidR="008A6D15" w:rsidRPr="008A6D15" w:rsidRDefault="008A6D15" w:rsidP="008A6D15">
                  <w:pPr>
                    <w:autoSpaceDE w:val="0"/>
                    <w:autoSpaceDN w:val="0"/>
                    <w:adjustRightInd w:val="0"/>
                    <w:rPr>
                      <w:rFonts w:ascii="Times New Roman" w:hAnsi="Times New Roman" w:cs="Times New Roman"/>
                      <w:sz w:val="24"/>
                      <w:szCs w:val="24"/>
                    </w:rPr>
                  </w:pPr>
                  <w:r w:rsidRPr="008A6D15">
                    <w:rPr>
                      <w:rFonts w:ascii="Times New Roman" w:hAnsi="Times New Roman" w:cs="Times New Roman"/>
                      <w:sz w:val="24"/>
                      <w:szCs w:val="24"/>
                    </w:rPr>
                    <w:t xml:space="preserve">                Janeiro, Instituto de Economia, Programa de Pós-Graduação </w:t>
                  </w:r>
                </w:p>
                <w:p w:rsidR="008A6D15" w:rsidRPr="008A6D15" w:rsidRDefault="008A6D15" w:rsidP="008A6D15">
                  <w:pPr>
                    <w:autoSpaceDE w:val="0"/>
                    <w:autoSpaceDN w:val="0"/>
                    <w:adjustRightInd w:val="0"/>
                    <w:rPr>
                      <w:rFonts w:ascii="Times New Roman" w:hAnsi="Times New Roman" w:cs="Times New Roman"/>
                      <w:sz w:val="24"/>
                      <w:szCs w:val="24"/>
                    </w:rPr>
                  </w:pPr>
                  <w:r w:rsidRPr="008A6D15">
                    <w:rPr>
                      <w:rFonts w:ascii="Times New Roman" w:hAnsi="Times New Roman" w:cs="Times New Roman"/>
                      <w:sz w:val="24"/>
                      <w:szCs w:val="24"/>
                    </w:rPr>
                    <w:t xml:space="preserve">                em Economia, 2012.</w:t>
                  </w:r>
                </w:p>
                <w:p w:rsidR="008A6D15" w:rsidRPr="008A6D15" w:rsidRDefault="008A6D15" w:rsidP="008A6D15">
                  <w:pPr>
                    <w:autoSpaceDE w:val="0"/>
                    <w:autoSpaceDN w:val="0"/>
                    <w:adjustRightInd w:val="0"/>
                    <w:rPr>
                      <w:rFonts w:ascii="Times New Roman" w:hAnsi="Times New Roman" w:cs="Times New Roman"/>
                      <w:sz w:val="24"/>
                      <w:szCs w:val="24"/>
                    </w:rPr>
                  </w:pPr>
                  <w:r w:rsidRPr="008A6D15">
                    <w:rPr>
                      <w:rFonts w:ascii="Times New Roman" w:hAnsi="Times New Roman" w:cs="Times New Roman"/>
                      <w:sz w:val="24"/>
                      <w:szCs w:val="24"/>
                    </w:rPr>
                    <w:t xml:space="preserve">                    Bibliografia: f. </w:t>
                  </w:r>
                  <w:r>
                    <w:rPr>
                      <w:rFonts w:ascii="Times New Roman" w:hAnsi="Times New Roman" w:cs="Times New Roman"/>
                      <w:sz w:val="24"/>
                      <w:szCs w:val="24"/>
                    </w:rPr>
                    <w:t>123</w:t>
                  </w:r>
                  <w:r w:rsidRPr="008A6D15">
                    <w:rPr>
                      <w:rFonts w:ascii="Times New Roman" w:hAnsi="Times New Roman" w:cs="Times New Roman"/>
                      <w:sz w:val="24"/>
                      <w:szCs w:val="24"/>
                    </w:rPr>
                    <w:t>-</w:t>
                  </w:r>
                  <w:r>
                    <w:rPr>
                      <w:rFonts w:ascii="Times New Roman" w:hAnsi="Times New Roman" w:cs="Times New Roman"/>
                      <w:sz w:val="24"/>
                      <w:szCs w:val="24"/>
                    </w:rPr>
                    <w:t>131</w:t>
                  </w:r>
                </w:p>
                <w:p w:rsidR="008A6D15" w:rsidRPr="008A6D15" w:rsidRDefault="008A6D15" w:rsidP="008A6D15">
                  <w:pPr>
                    <w:autoSpaceDE w:val="0"/>
                    <w:autoSpaceDN w:val="0"/>
                    <w:adjustRightInd w:val="0"/>
                    <w:rPr>
                      <w:rFonts w:ascii="Times New Roman" w:hAnsi="Times New Roman" w:cs="Times New Roman"/>
                      <w:sz w:val="24"/>
                      <w:szCs w:val="24"/>
                    </w:rPr>
                  </w:pPr>
                </w:p>
                <w:p w:rsidR="008A6D15" w:rsidRPr="008A6D15" w:rsidRDefault="008A6D15" w:rsidP="008A6D15">
                  <w:pPr>
                    <w:autoSpaceDE w:val="0"/>
                    <w:autoSpaceDN w:val="0"/>
                    <w:adjustRightInd w:val="0"/>
                    <w:ind w:left="709"/>
                    <w:rPr>
                      <w:rFonts w:ascii="Times New Roman" w:hAnsi="Times New Roman" w:cs="Times New Roman"/>
                      <w:sz w:val="24"/>
                      <w:szCs w:val="24"/>
                    </w:rPr>
                  </w:pPr>
                  <w:r w:rsidRPr="008A6D15">
                    <w:rPr>
                      <w:rFonts w:ascii="Times New Roman" w:hAnsi="Times New Roman" w:cs="Times New Roman"/>
                      <w:sz w:val="24"/>
                      <w:szCs w:val="24"/>
                    </w:rPr>
                    <w:t xml:space="preserve">        1. Regulação econômica.  2. Inovação. 3. Biocombustíveis. </w:t>
                  </w:r>
                </w:p>
                <w:p w:rsidR="008A6D15" w:rsidRPr="008A6D15" w:rsidRDefault="008A6D15" w:rsidP="008A6D15">
                  <w:pPr>
                    <w:autoSpaceDE w:val="0"/>
                    <w:autoSpaceDN w:val="0"/>
                    <w:adjustRightInd w:val="0"/>
                    <w:ind w:left="709"/>
                    <w:rPr>
                      <w:rFonts w:ascii="Times New Roman" w:hAnsi="Times New Roman" w:cs="Times New Roman"/>
                      <w:sz w:val="24"/>
                      <w:szCs w:val="24"/>
                    </w:rPr>
                  </w:pPr>
                  <w:r w:rsidRPr="008A6D15">
                    <w:rPr>
                      <w:rFonts w:ascii="Times New Roman" w:hAnsi="Times New Roman" w:cs="Times New Roman"/>
                      <w:sz w:val="24"/>
                      <w:szCs w:val="24"/>
                    </w:rPr>
                    <w:t xml:space="preserve">    I. Pinto Junior, Helder Queiroz. II. Martins, José Vitor Bomtempo.  </w:t>
                  </w:r>
                </w:p>
                <w:p w:rsidR="008A6D15" w:rsidRPr="008A6D15" w:rsidRDefault="008A6D15" w:rsidP="008A6D15">
                  <w:pPr>
                    <w:autoSpaceDE w:val="0"/>
                    <w:autoSpaceDN w:val="0"/>
                    <w:adjustRightInd w:val="0"/>
                    <w:ind w:left="709"/>
                    <w:rPr>
                      <w:rFonts w:ascii="Times New Roman" w:hAnsi="Times New Roman" w:cs="Times New Roman"/>
                      <w:sz w:val="24"/>
                      <w:szCs w:val="24"/>
                    </w:rPr>
                  </w:pPr>
                  <w:r w:rsidRPr="008A6D15">
                    <w:rPr>
                      <w:rFonts w:ascii="Times New Roman" w:hAnsi="Times New Roman" w:cs="Times New Roman"/>
                      <w:sz w:val="24"/>
                      <w:szCs w:val="24"/>
                    </w:rPr>
                    <w:t xml:space="preserve">    III. Universidade Federal do Rio de Janeiro. Instituto de Economia. </w:t>
                  </w:r>
                </w:p>
                <w:p w:rsidR="008A6D15" w:rsidRPr="008A6D15" w:rsidRDefault="008A6D15" w:rsidP="008A6D15">
                  <w:pPr>
                    <w:autoSpaceDE w:val="0"/>
                    <w:autoSpaceDN w:val="0"/>
                    <w:adjustRightInd w:val="0"/>
                    <w:ind w:left="709"/>
                    <w:rPr>
                      <w:rFonts w:ascii="Times New Roman" w:hAnsi="Times New Roman" w:cs="Times New Roman"/>
                      <w:sz w:val="24"/>
                      <w:szCs w:val="24"/>
                    </w:rPr>
                  </w:pPr>
                  <w:r w:rsidRPr="008A6D15">
                    <w:rPr>
                      <w:rFonts w:ascii="Times New Roman" w:hAnsi="Times New Roman" w:cs="Times New Roman"/>
                      <w:sz w:val="24"/>
                      <w:szCs w:val="24"/>
                    </w:rPr>
                    <w:t xml:space="preserve">    IV.Título.</w:t>
                  </w:r>
                </w:p>
                <w:p w:rsidR="008A6D15" w:rsidRPr="008A6D15" w:rsidRDefault="008A6D15" w:rsidP="008A6D15">
                  <w:pPr>
                    <w:autoSpaceDE w:val="0"/>
                    <w:autoSpaceDN w:val="0"/>
                    <w:adjustRightInd w:val="0"/>
                    <w:rPr>
                      <w:rFonts w:ascii="Times New Roman" w:hAnsi="Times New Roman" w:cs="Times New Roman"/>
                      <w:sz w:val="24"/>
                      <w:szCs w:val="24"/>
                    </w:rPr>
                  </w:pPr>
                </w:p>
                <w:p w:rsidR="008A6D15" w:rsidRPr="008A6D15" w:rsidRDefault="008A6D15" w:rsidP="008A6D15">
                  <w:pPr>
                    <w:autoSpaceDE w:val="0"/>
                    <w:autoSpaceDN w:val="0"/>
                    <w:adjustRightInd w:val="0"/>
                    <w:rPr>
                      <w:rFonts w:ascii="Times New Roman" w:hAnsi="Times New Roman" w:cs="Times New Roman"/>
                      <w:sz w:val="24"/>
                      <w:szCs w:val="24"/>
                    </w:rPr>
                  </w:pPr>
                </w:p>
                <w:p w:rsidR="008A6D15" w:rsidRDefault="008A6D15" w:rsidP="008A6D15">
                  <w:pPr>
                    <w:autoSpaceDE w:val="0"/>
                    <w:autoSpaceDN w:val="0"/>
                    <w:adjustRightInd w:val="0"/>
                  </w:pPr>
                </w:p>
                <w:p w:rsidR="008A6D15" w:rsidRDefault="008A6D15" w:rsidP="008A6D15">
                  <w:pPr>
                    <w:autoSpaceDE w:val="0"/>
                    <w:autoSpaceDN w:val="0"/>
                    <w:adjustRightInd w:val="0"/>
                  </w:pPr>
                </w:p>
                <w:p w:rsidR="008A6D15" w:rsidRDefault="008A6D15" w:rsidP="008A6D15">
                  <w:pPr>
                    <w:autoSpaceDE w:val="0"/>
                    <w:autoSpaceDN w:val="0"/>
                    <w:adjustRightInd w:val="0"/>
                  </w:pPr>
                </w:p>
                <w:p w:rsidR="008A6D15" w:rsidRDefault="008A6D15" w:rsidP="008A6D15">
                  <w:pPr>
                    <w:autoSpaceDE w:val="0"/>
                    <w:autoSpaceDN w:val="0"/>
                    <w:adjustRightInd w:val="0"/>
                  </w:pPr>
                </w:p>
                <w:p w:rsidR="008A6D15" w:rsidRDefault="008A6D15" w:rsidP="008A6D15">
                  <w:pPr>
                    <w:autoSpaceDE w:val="0"/>
                    <w:autoSpaceDN w:val="0"/>
                    <w:adjustRightInd w:val="0"/>
                  </w:pPr>
                </w:p>
                <w:p w:rsidR="008A6D15" w:rsidRDefault="008A6D15" w:rsidP="008A6D15">
                  <w:pPr>
                    <w:autoSpaceDE w:val="0"/>
                    <w:autoSpaceDN w:val="0"/>
                    <w:adjustRightInd w:val="0"/>
                  </w:pPr>
                </w:p>
                <w:p w:rsidR="008A6D15" w:rsidRDefault="008A6D15" w:rsidP="008A6D15">
                  <w:pPr>
                    <w:autoSpaceDE w:val="0"/>
                    <w:autoSpaceDN w:val="0"/>
                    <w:adjustRightInd w:val="0"/>
                  </w:pPr>
                </w:p>
                <w:p w:rsidR="008A6D15" w:rsidRDefault="008A6D15" w:rsidP="008A6D15">
                  <w:pPr>
                    <w:autoSpaceDE w:val="0"/>
                    <w:autoSpaceDN w:val="0"/>
                    <w:adjustRightInd w:val="0"/>
                  </w:pPr>
                </w:p>
                <w:p w:rsidR="008A6D15" w:rsidRDefault="008A6D15" w:rsidP="008A6D15">
                  <w:pPr>
                    <w:autoSpaceDE w:val="0"/>
                    <w:autoSpaceDN w:val="0"/>
                    <w:adjustRightInd w:val="0"/>
                  </w:pPr>
                </w:p>
                <w:p w:rsidR="008A6D15" w:rsidRDefault="008A6D15" w:rsidP="008A6D15">
                  <w:pPr>
                    <w:autoSpaceDE w:val="0"/>
                    <w:autoSpaceDN w:val="0"/>
                    <w:adjustRightInd w:val="0"/>
                  </w:pPr>
                </w:p>
                <w:p w:rsidR="008A6D15" w:rsidRDefault="008A6D15" w:rsidP="008A6D15">
                  <w:pPr>
                    <w:autoSpaceDE w:val="0"/>
                    <w:autoSpaceDN w:val="0"/>
                    <w:adjustRightInd w:val="0"/>
                  </w:pPr>
                </w:p>
                <w:p w:rsidR="008A6D15" w:rsidRDefault="008A6D15" w:rsidP="008A6D15">
                  <w:pPr>
                    <w:autoSpaceDE w:val="0"/>
                    <w:autoSpaceDN w:val="0"/>
                    <w:adjustRightInd w:val="0"/>
                  </w:pPr>
                </w:p>
                <w:p w:rsidR="008A6D15" w:rsidRDefault="008A6D15" w:rsidP="008A6D15">
                  <w:pPr>
                    <w:autoSpaceDE w:val="0"/>
                    <w:autoSpaceDN w:val="0"/>
                    <w:adjustRightInd w:val="0"/>
                  </w:pPr>
                  <w:r>
                    <w:t>F</w:t>
                  </w:r>
                </w:p>
                <w:p w:rsidR="008A6D15" w:rsidRDefault="008A6D15" w:rsidP="008A6D15">
                  <w:pPr>
                    <w:autoSpaceDE w:val="0"/>
                    <w:autoSpaceDN w:val="0"/>
                    <w:adjustRightInd w:val="0"/>
                  </w:pPr>
                </w:p>
                <w:p w:rsidR="008A6D15" w:rsidRDefault="008A6D15" w:rsidP="008A6D15">
                  <w:pPr>
                    <w:numPr>
                      <w:ilvl w:val="0"/>
                      <w:numId w:val="20"/>
                    </w:numPr>
                    <w:autoSpaceDE w:val="0"/>
                    <w:autoSpaceDN w:val="0"/>
                    <w:adjustRightInd w:val="0"/>
                    <w:jc w:val="left"/>
                  </w:pPr>
                  <w:r>
                    <w:t xml:space="preserve">Vacinas contra dengue e HPV. I. Chamas, Claudia Inês. II. </w:t>
                  </w:r>
                </w:p>
                <w:p w:rsidR="008A6D15" w:rsidRDefault="008A6D15" w:rsidP="008A6D15">
                  <w:pPr>
                    <w:autoSpaceDE w:val="0"/>
                    <w:autoSpaceDN w:val="0"/>
                    <w:adjustRightInd w:val="0"/>
                    <w:ind w:left="840"/>
                  </w:pPr>
                  <w:r>
                    <w:t>Universidade  Federal do Rio de Janeiro. Insituto de Economia.</w:t>
                  </w:r>
                </w:p>
                <w:p w:rsidR="008A6D15" w:rsidRDefault="008A6D15" w:rsidP="008A6D15">
                  <w:pPr>
                    <w:autoSpaceDE w:val="0"/>
                    <w:autoSpaceDN w:val="0"/>
                    <w:adjustRightInd w:val="0"/>
                  </w:pPr>
                  <w:r>
                    <w:t xml:space="preserve">                Federal do Rio de Janeiro. Instituto de Economia.</w:t>
                  </w:r>
                </w:p>
                <w:p w:rsidR="008A6D15" w:rsidRDefault="008A6D15" w:rsidP="008A6D15">
                  <w:pPr>
                    <w:autoSpaceDE w:val="0"/>
                    <w:autoSpaceDN w:val="0"/>
                    <w:adjustRightInd w:val="0"/>
                  </w:pPr>
                  <w:r>
                    <w:t xml:space="preserve">        </w:t>
                  </w:r>
                </w:p>
                <w:p w:rsidR="008A6D15" w:rsidRDefault="008A6D15" w:rsidP="008A6D15">
                  <w:pPr>
                    <w:autoSpaceDE w:val="0"/>
                    <w:autoSpaceDN w:val="0"/>
                    <w:adjustRightInd w:val="0"/>
                  </w:pPr>
                  <w:r>
                    <w:t xml:space="preserve">                                                                                              </w:t>
                  </w:r>
                </w:p>
                <w:p w:rsidR="008A6D15" w:rsidRDefault="008A6D15" w:rsidP="008A6D15">
                  <w:pPr>
                    <w:autoSpaceDE w:val="0"/>
                    <w:autoSpaceDN w:val="0"/>
                    <w:adjustRightInd w:val="0"/>
                  </w:pPr>
                  <w:r>
                    <w:t xml:space="preserve">                               </w:t>
                  </w:r>
                </w:p>
                <w:p w:rsidR="008A6D15" w:rsidRDefault="008A6D15" w:rsidP="008A6D15">
                  <w:pPr>
                    <w:autoSpaceDE w:val="0"/>
                    <w:autoSpaceDN w:val="0"/>
                    <w:adjustRightInd w:val="0"/>
                  </w:pPr>
                  <w:r>
                    <w:t xml:space="preserve">                                                                                              </w:t>
                  </w:r>
                </w:p>
                <w:p w:rsidR="008A6D15" w:rsidRDefault="008A6D15" w:rsidP="008A6D15"/>
                <w:p w:rsidR="008A6D15" w:rsidRDefault="008A6D15" w:rsidP="008A6D15"/>
                <w:p w:rsidR="008A6D15" w:rsidRDefault="008A6D15" w:rsidP="008A6D15">
                  <w:r>
                    <w:t xml:space="preserve">                </w:t>
                  </w:r>
                </w:p>
                <w:p w:rsidR="008A6D15" w:rsidRDefault="008A6D15" w:rsidP="008A6D15">
                  <w:pPr>
                    <w:spacing w:line="360" w:lineRule="auto"/>
                  </w:pPr>
                </w:p>
              </w:txbxContent>
            </v:textbox>
            <w10:wrap type="none"/>
            <w10:anchorlock/>
          </v:shape>
        </w:pict>
      </w:r>
    </w:p>
    <w:p w:rsidR="00F50DF5" w:rsidRDefault="00F50DF5" w:rsidP="008A6D15">
      <w:pPr>
        <w:jc w:val="center"/>
        <w:rPr>
          <w:rFonts w:ascii="Times New Roman" w:hAnsi="Times New Roman" w:cs="Times New Roman"/>
          <w:b/>
          <w:caps/>
          <w:sz w:val="24"/>
          <w:szCs w:val="24"/>
          <w:lang w:val="pt-PT"/>
        </w:rPr>
      </w:pPr>
    </w:p>
    <w:p w:rsidR="008A6D15" w:rsidRDefault="008A6D15">
      <w:pPr>
        <w:rPr>
          <w:rFonts w:ascii="Times New Roman" w:hAnsi="Times New Roman" w:cs="Times New Roman"/>
          <w:b/>
          <w:caps/>
          <w:sz w:val="24"/>
          <w:szCs w:val="24"/>
          <w:lang w:val="pt-PT"/>
        </w:rPr>
      </w:pPr>
      <w:r>
        <w:rPr>
          <w:rFonts w:ascii="Times New Roman" w:hAnsi="Times New Roman" w:cs="Times New Roman"/>
          <w:b/>
          <w:caps/>
          <w:sz w:val="24"/>
          <w:szCs w:val="24"/>
          <w:lang w:val="pt-PT"/>
        </w:rPr>
        <w:br w:type="page"/>
      </w:r>
    </w:p>
    <w:p w:rsidR="00D06980" w:rsidRPr="00D06980" w:rsidRDefault="00D06980" w:rsidP="00E85004">
      <w:pPr>
        <w:spacing w:line="360" w:lineRule="auto"/>
        <w:jc w:val="center"/>
        <w:rPr>
          <w:rFonts w:ascii="Times New Roman" w:hAnsi="Times New Roman" w:cs="Times New Roman"/>
          <w:b/>
          <w:caps/>
          <w:sz w:val="24"/>
          <w:szCs w:val="24"/>
          <w:lang w:val="pt-PT"/>
        </w:rPr>
      </w:pPr>
      <w:r w:rsidRPr="00D06980">
        <w:rPr>
          <w:rFonts w:ascii="Times New Roman" w:hAnsi="Times New Roman" w:cs="Times New Roman"/>
          <w:b/>
          <w:caps/>
          <w:sz w:val="24"/>
          <w:szCs w:val="24"/>
          <w:lang w:val="pt-PT"/>
        </w:rPr>
        <w:lastRenderedPageBreak/>
        <w:t>adaptação regulatória na indústria de biocombustíveis</w:t>
      </w:r>
    </w:p>
    <w:p w:rsidR="00D06980" w:rsidRDefault="00D06980" w:rsidP="00E85004">
      <w:pPr>
        <w:spacing w:line="360" w:lineRule="auto"/>
        <w:jc w:val="center"/>
        <w:rPr>
          <w:rFonts w:ascii="Times New Roman" w:hAnsi="Times New Roman" w:cs="Times New Roman"/>
          <w:caps/>
          <w:sz w:val="24"/>
          <w:szCs w:val="24"/>
          <w:lang w:val="pt-PT"/>
        </w:rPr>
      </w:pPr>
    </w:p>
    <w:p w:rsidR="00E85004" w:rsidRDefault="00E85004" w:rsidP="00F50DF5">
      <w:pPr>
        <w:spacing w:line="360" w:lineRule="auto"/>
        <w:rPr>
          <w:rFonts w:ascii="Times New Roman" w:hAnsi="Times New Roman" w:cs="Times New Roman"/>
          <w:sz w:val="24"/>
          <w:szCs w:val="24"/>
          <w:lang w:val="pt-PT"/>
        </w:rPr>
      </w:pPr>
    </w:p>
    <w:p w:rsidR="00D06980" w:rsidRPr="00D06980" w:rsidRDefault="00D06980" w:rsidP="00E85004">
      <w:pPr>
        <w:spacing w:line="360" w:lineRule="auto"/>
        <w:jc w:val="center"/>
        <w:rPr>
          <w:rFonts w:ascii="Times New Roman" w:hAnsi="Times New Roman" w:cs="Times New Roman"/>
          <w:sz w:val="24"/>
          <w:szCs w:val="24"/>
          <w:lang w:val="pt-PT"/>
        </w:rPr>
      </w:pPr>
      <w:r>
        <w:rPr>
          <w:rFonts w:ascii="Times New Roman" w:hAnsi="Times New Roman" w:cs="Times New Roman"/>
          <w:sz w:val="24"/>
          <w:szCs w:val="24"/>
          <w:lang w:val="pt-PT"/>
        </w:rPr>
        <w:t>Inaiê Takaes S</w:t>
      </w:r>
      <w:r w:rsidRPr="00D06980">
        <w:rPr>
          <w:rFonts w:ascii="Times New Roman" w:hAnsi="Times New Roman" w:cs="Times New Roman"/>
          <w:sz w:val="24"/>
          <w:szCs w:val="24"/>
          <w:lang w:val="pt-PT"/>
        </w:rPr>
        <w:t>antos</w:t>
      </w:r>
    </w:p>
    <w:p w:rsidR="00D06980" w:rsidRDefault="00D06980" w:rsidP="00D06980">
      <w:pPr>
        <w:spacing w:line="360" w:lineRule="auto"/>
        <w:jc w:val="center"/>
        <w:rPr>
          <w:rFonts w:ascii="Times New Roman" w:hAnsi="Times New Roman" w:cs="Times New Roman"/>
          <w:b/>
          <w:caps/>
          <w:sz w:val="24"/>
          <w:szCs w:val="24"/>
          <w:lang w:val="pt-PT"/>
        </w:rPr>
      </w:pPr>
    </w:p>
    <w:p w:rsidR="00D06980" w:rsidRDefault="00D06980" w:rsidP="00D06980">
      <w:pPr>
        <w:tabs>
          <w:tab w:val="left" w:pos="3544"/>
        </w:tabs>
        <w:ind w:left="3827"/>
        <w:jc w:val="right"/>
        <w:rPr>
          <w:rFonts w:ascii="Times New Roman" w:hAnsi="Times New Roman" w:cs="Times New Roman"/>
          <w:sz w:val="24"/>
          <w:szCs w:val="24"/>
          <w:lang w:val="pt-PT"/>
        </w:rPr>
      </w:pPr>
    </w:p>
    <w:p w:rsidR="00E85004" w:rsidRDefault="00E85004" w:rsidP="00D06980">
      <w:pPr>
        <w:tabs>
          <w:tab w:val="left" w:pos="3544"/>
        </w:tabs>
        <w:ind w:left="3827"/>
        <w:jc w:val="right"/>
        <w:rPr>
          <w:rFonts w:ascii="Times New Roman" w:hAnsi="Times New Roman" w:cs="Times New Roman"/>
          <w:sz w:val="24"/>
          <w:szCs w:val="24"/>
          <w:lang w:val="pt-PT"/>
        </w:rPr>
      </w:pPr>
    </w:p>
    <w:p w:rsidR="00E85004" w:rsidRDefault="00E85004" w:rsidP="00D06980">
      <w:pPr>
        <w:tabs>
          <w:tab w:val="left" w:pos="3544"/>
        </w:tabs>
        <w:ind w:left="3827"/>
        <w:jc w:val="right"/>
        <w:rPr>
          <w:rFonts w:ascii="Times New Roman" w:hAnsi="Times New Roman" w:cs="Times New Roman"/>
          <w:sz w:val="24"/>
          <w:szCs w:val="24"/>
          <w:lang w:val="pt-PT"/>
        </w:rPr>
      </w:pPr>
    </w:p>
    <w:p w:rsidR="00D06980" w:rsidRDefault="00E85004" w:rsidP="00D06980">
      <w:pPr>
        <w:tabs>
          <w:tab w:val="left" w:pos="3544"/>
        </w:tabs>
        <w:ind w:left="3827"/>
        <w:rPr>
          <w:rFonts w:ascii="Times New Roman" w:hAnsi="Times New Roman" w:cs="Times New Roman"/>
          <w:sz w:val="24"/>
          <w:szCs w:val="24"/>
          <w:lang w:val="pt-PT"/>
        </w:rPr>
      </w:pPr>
      <w:r>
        <w:rPr>
          <w:rFonts w:ascii="Times New Roman" w:hAnsi="Times New Roman" w:cs="Times New Roman"/>
          <w:sz w:val="24"/>
          <w:szCs w:val="24"/>
          <w:lang w:val="pt-PT"/>
        </w:rPr>
        <w:t>Dissertação de Mestrado apresentada</w:t>
      </w:r>
      <w:r w:rsidR="00D06980">
        <w:rPr>
          <w:rFonts w:ascii="Times New Roman" w:hAnsi="Times New Roman" w:cs="Times New Roman"/>
          <w:sz w:val="24"/>
          <w:szCs w:val="24"/>
          <w:lang w:val="pt-PT"/>
        </w:rPr>
        <w:t xml:space="preserve"> ao </w:t>
      </w:r>
      <w:r>
        <w:rPr>
          <w:rFonts w:ascii="Times New Roman" w:hAnsi="Times New Roman" w:cs="Times New Roman"/>
          <w:sz w:val="24"/>
          <w:szCs w:val="24"/>
          <w:lang w:val="pt-PT"/>
        </w:rPr>
        <w:t xml:space="preserve">Corpo Docente </w:t>
      </w:r>
      <w:r w:rsidR="00D06980">
        <w:rPr>
          <w:rFonts w:ascii="Times New Roman" w:hAnsi="Times New Roman" w:cs="Times New Roman"/>
          <w:sz w:val="24"/>
          <w:szCs w:val="24"/>
          <w:lang w:val="pt-PT"/>
        </w:rPr>
        <w:t>do Instituto de Economia da Univers</w:t>
      </w:r>
      <w:r>
        <w:rPr>
          <w:rFonts w:ascii="Times New Roman" w:hAnsi="Times New Roman" w:cs="Times New Roman"/>
          <w:sz w:val="24"/>
          <w:szCs w:val="24"/>
          <w:lang w:val="pt-PT"/>
        </w:rPr>
        <w:t>idade Federal do Rio de Janeiro</w:t>
      </w:r>
      <w:r w:rsidR="00D06980">
        <w:rPr>
          <w:rFonts w:ascii="Times New Roman" w:hAnsi="Times New Roman" w:cs="Times New Roman"/>
          <w:sz w:val="24"/>
          <w:szCs w:val="24"/>
          <w:lang w:val="pt-PT"/>
        </w:rPr>
        <w:t xml:space="preserve"> como parte dos requisitos necessário</w:t>
      </w:r>
      <w:r>
        <w:rPr>
          <w:rFonts w:ascii="Times New Roman" w:hAnsi="Times New Roman" w:cs="Times New Roman"/>
          <w:sz w:val="24"/>
          <w:szCs w:val="24"/>
          <w:lang w:val="pt-PT"/>
        </w:rPr>
        <w:t xml:space="preserve">s à obtenção do título de MESTRE </w:t>
      </w:r>
      <w:r w:rsidR="00413A55">
        <w:rPr>
          <w:rFonts w:ascii="Times New Roman" w:hAnsi="Times New Roman" w:cs="Times New Roman"/>
          <w:sz w:val="24"/>
          <w:szCs w:val="24"/>
          <w:lang w:val="pt-PT"/>
        </w:rPr>
        <w:t xml:space="preserve">em Ciências, </w:t>
      </w:r>
      <w:r>
        <w:rPr>
          <w:rFonts w:ascii="Times New Roman" w:hAnsi="Times New Roman" w:cs="Times New Roman"/>
          <w:sz w:val="24"/>
          <w:szCs w:val="24"/>
          <w:lang w:val="pt-PT"/>
        </w:rPr>
        <w:t>em Econo</w:t>
      </w:r>
      <w:r w:rsidR="00413A55">
        <w:rPr>
          <w:rFonts w:ascii="Times New Roman" w:hAnsi="Times New Roman" w:cs="Times New Roman"/>
          <w:sz w:val="24"/>
          <w:szCs w:val="24"/>
          <w:lang w:val="pt-PT"/>
        </w:rPr>
        <w:t>mia</w:t>
      </w:r>
      <w:r w:rsidR="00D06980">
        <w:rPr>
          <w:rFonts w:ascii="Times New Roman" w:hAnsi="Times New Roman" w:cs="Times New Roman"/>
          <w:sz w:val="24"/>
          <w:szCs w:val="24"/>
          <w:lang w:val="pt-PT"/>
        </w:rPr>
        <w:t>.</w:t>
      </w:r>
    </w:p>
    <w:p w:rsidR="00D06980" w:rsidRDefault="00D06980" w:rsidP="00D06980">
      <w:pPr>
        <w:spacing w:line="360" w:lineRule="auto"/>
        <w:rPr>
          <w:rFonts w:ascii="Times New Roman" w:hAnsi="Times New Roman" w:cs="Times New Roman"/>
          <w:sz w:val="24"/>
          <w:szCs w:val="24"/>
          <w:lang w:val="pt-PT"/>
        </w:rPr>
      </w:pPr>
    </w:p>
    <w:p w:rsidR="00E85004" w:rsidRDefault="00E85004" w:rsidP="00D06980">
      <w:pPr>
        <w:spacing w:line="360" w:lineRule="auto"/>
        <w:rPr>
          <w:rFonts w:ascii="Times New Roman" w:hAnsi="Times New Roman" w:cs="Times New Roman"/>
          <w:sz w:val="24"/>
          <w:szCs w:val="24"/>
          <w:lang w:val="pt-PT"/>
        </w:rPr>
      </w:pPr>
    </w:p>
    <w:p w:rsidR="00E85004" w:rsidRDefault="00E85004" w:rsidP="00D06980">
      <w:pPr>
        <w:spacing w:line="360" w:lineRule="auto"/>
        <w:rPr>
          <w:rFonts w:ascii="Times New Roman" w:hAnsi="Times New Roman" w:cs="Times New Roman"/>
          <w:sz w:val="24"/>
          <w:szCs w:val="24"/>
          <w:lang w:val="pt-PT"/>
        </w:rPr>
      </w:pPr>
    </w:p>
    <w:p w:rsidR="00D06980" w:rsidRDefault="00D06980" w:rsidP="00D06980">
      <w:pPr>
        <w:spacing w:line="360" w:lineRule="auto"/>
        <w:jc w:val="center"/>
        <w:rPr>
          <w:rFonts w:ascii="Times New Roman" w:hAnsi="Times New Roman" w:cs="Times New Roman"/>
          <w:sz w:val="24"/>
          <w:szCs w:val="24"/>
          <w:lang w:val="pt-PT"/>
        </w:rPr>
      </w:pPr>
    </w:p>
    <w:p w:rsidR="00D06980" w:rsidRDefault="00D06980" w:rsidP="00E85004">
      <w:pPr>
        <w:spacing w:line="360" w:lineRule="auto"/>
        <w:jc w:val="center"/>
        <w:rPr>
          <w:rFonts w:ascii="Times New Roman" w:hAnsi="Times New Roman" w:cs="Times New Roman"/>
          <w:sz w:val="24"/>
          <w:szCs w:val="24"/>
          <w:lang w:val="pt-PT"/>
        </w:rPr>
      </w:pPr>
      <w:r>
        <w:rPr>
          <w:rFonts w:ascii="Times New Roman" w:hAnsi="Times New Roman" w:cs="Times New Roman"/>
          <w:sz w:val="24"/>
          <w:szCs w:val="24"/>
          <w:lang w:val="pt-PT"/>
        </w:rPr>
        <w:t>BANCA EXAMINADORA:</w:t>
      </w:r>
    </w:p>
    <w:p w:rsidR="00D06980" w:rsidRDefault="00D06980" w:rsidP="00E85004">
      <w:pPr>
        <w:spacing w:line="360" w:lineRule="auto"/>
        <w:jc w:val="center"/>
        <w:rPr>
          <w:rFonts w:ascii="Times New Roman" w:hAnsi="Times New Roman" w:cs="Times New Roman"/>
          <w:sz w:val="24"/>
          <w:szCs w:val="24"/>
          <w:lang w:val="pt-PT"/>
        </w:rPr>
      </w:pPr>
    </w:p>
    <w:p w:rsidR="00D06980" w:rsidRDefault="00D06980" w:rsidP="00E85004">
      <w:pPr>
        <w:spacing w:line="360" w:lineRule="auto"/>
        <w:jc w:val="center"/>
        <w:rPr>
          <w:rFonts w:ascii="Times New Roman" w:hAnsi="Times New Roman" w:cs="Times New Roman"/>
          <w:sz w:val="24"/>
          <w:szCs w:val="24"/>
          <w:lang w:val="pt-PT"/>
        </w:rPr>
      </w:pPr>
      <w:r>
        <w:rPr>
          <w:rFonts w:ascii="Times New Roman" w:hAnsi="Times New Roman" w:cs="Times New Roman"/>
          <w:sz w:val="24"/>
          <w:szCs w:val="24"/>
          <w:lang w:val="pt-PT"/>
        </w:rPr>
        <w:t>________________________________________</w:t>
      </w:r>
    </w:p>
    <w:p w:rsidR="00D06980" w:rsidRDefault="00D06980" w:rsidP="00E85004">
      <w:pPr>
        <w:spacing w:line="360" w:lineRule="auto"/>
        <w:jc w:val="center"/>
        <w:rPr>
          <w:rFonts w:ascii="Times New Roman" w:hAnsi="Times New Roman" w:cs="Times New Roman"/>
          <w:sz w:val="24"/>
          <w:szCs w:val="24"/>
          <w:lang w:val="pt-PT"/>
        </w:rPr>
      </w:pPr>
      <w:r>
        <w:rPr>
          <w:rFonts w:ascii="Times New Roman" w:hAnsi="Times New Roman" w:cs="Times New Roman"/>
          <w:sz w:val="24"/>
          <w:szCs w:val="24"/>
          <w:lang w:val="pt-PT"/>
        </w:rPr>
        <w:t>Prof. Dr. Helder Queiroz Pinto Junior (IE</w:t>
      </w:r>
      <w:r w:rsidR="00437752">
        <w:rPr>
          <w:rFonts w:ascii="Times New Roman" w:hAnsi="Times New Roman" w:cs="Times New Roman"/>
          <w:sz w:val="24"/>
          <w:szCs w:val="24"/>
          <w:lang w:val="pt-PT"/>
        </w:rPr>
        <w:t>-</w:t>
      </w:r>
      <w:r>
        <w:rPr>
          <w:rFonts w:ascii="Times New Roman" w:hAnsi="Times New Roman" w:cs="Times New Roman"/>
          <w:sz w:val="24"/>
          <w:szCs w:val="24"/>
          <w:lang w:val="pt-PT"/>
        </w:rPr>
        <w:t>UFRJ</w:t>
      </w:r>
      <w:r w:rsidR="00437752">
        <w:rPr>
          <w:rFonts w:ascii="Times New Roman" w:hAnsi="Times New Roman" w:cs="Times New Roman"/>
          <w:sz w:val="24"/>
          <w:szCs w:val="24"/>
          <w:lang w:val="pt-PT"/>
        </w:rPr>
        <w:t>/ANP</w:t>
      </w:r>
      <w:r>
        <w:rPr>
          <w:rFonts w:ascii="Times New Roman" w:hAnsi="Times New Roman" w:cs="Times New Roman"/>
          <w:sz w:val="24"/>
          <w:szCs w:val="24"/>
          <w:lang w:val="pt-PT"/>
        </w:rPr>
        <w:t>) – Orientador</w:t>
      </w:r>
    </w:p>
    <w:p w:rsidR="00D06980" w:rsidRDefault="00D06980" w:rsidP="00E85004">
      <w:pPr>
        <w:spacing w:line="360" w:lineRule="auto"/>
        <w:jc w:val="center"/>
        <w:rPr>
          <w:rFonts w:ascii="Times New Roman" w:hAnsi="Times New Roman" w:cs="Times New Roman"/>
          <w:sz w:val="24"/>
          <w:szCs w:val="24"/>
          <w:lang w:val="pt-PT"/>
        </w:rPr>
      </w:pPr>
    </w:p>
    <w:p w:rsidR="00D06980" w:rsidRDefault="00D06980" w:rsidP="00E85004">
      <w:pPr>
        <w:spacing w:line="360" w:lineRule="auto"/>
        <w:jc w:val="center"/>
        <w:rPr>
          <w:rFonts w:ascii="Times New Roman" w:hAnsi="Times New Roman" w:cs="Times New Roman"/>
          <w:sz w:val="24"/>
          <w:szCs w:val="24"/>
          <w:lang w:val="pt-PT"/>
        </w:rPr>
      </w:pPr>
      <w:r>
        <w:rPr>
          <w:rFonts w:ascii="Times New Roman" w:hAnsi="Times New Roman" w:cs="Times New Roman"/>
          <w:sz w:val="24"/>
          <w:szCs w:val="24"/>
          <w:lang w:val="pt-PT"/>
        </w:rPr>
        <w:t>_________________________________________</w:t>
      </w:r>
    </w:p>
    <w:p w:rsidR="00D06980" w:rsidRDefault="00D06980" w:rsidP="00E85004">
      <w:pPr>
        <w:spacing w:line="360" w:lineRule="auto"/>
        <w:jc w:val="center"/>
        <w:rPr>
          <w:rFonts w:ascii="Times New Roman" w:hAnsi="Times New Roman" w:cs="Times New Roman"/>
          <w:sz w:val="24"/>
          <w:szCs w:val="24"/>
          <w:lang w:val="pt-PT"/>
        </w:rPr>
      </w:pPr>
      <w:r>
        <w:rPr>
          <w:rFonts w:ascii="Times New Roman" w:hAnsi="Times New Roman" w:cs="Times New Roman"/>
          <w:sz w:val="24"/>
          <w:szCs w:val="24"/>
          <w:lang w:val="pt-PT"/>
        </w:rPr>
        <w:t xml:space="preserve">Prof. Dr. </w:t>
      </w:r>
      <w:r w:rsidR="00437752">
        <w:rPr>
          <w:rFonts w:ascii="Times New Roman" w:hAnsi="Times New Roman" w:cs="Times New Roman"/>
          <w:sz w:val="24"/>
          <w:szCs w:val="24"/>
          <w:lang w:val="pt-PT"/>
        </w:rPr>
        <w:t>José Vitor Bomtempo Martins (EQ-</w:t>
      </w:r>
      <w:r>
        <w:rPr>
          <w:rFonts w:ascii="Times New Roman" w:hAnsi="Times New Roman" w:cs="Times New Roman"/>
          <w:sz w:val="24"/>
          <w:szCs w:val="24"/>
          <w:lang w:val="pt-PT"/>
        </w:rPr>
        <w:t>UFRJ) – Co-orientador</w:t>
      </w:r>
    </w:p>
    <w:p w:rsidR="00D06980" w:rsidRDefault="00D06980" w:rsidP="00E85004">
      <w:pPr>
        <w:spacing w:line="360" w:lineRule="auto"/>
        <w:jc w:val="center"/>
        <w:rPr>
          <w:rFonts w:ascii="Times New Roman" w:hAnsi="Times New Roman" w:cs="Times New Roman"/>
          <w:sz w:val="24"/>
          <w:szCs w:val="24"/>
          <w:lang w:val="pt-PT"/>
        </w:rPr>
      </w:pPr>
    </w:p>
    <w:p w:rsidR="00D06980" w:rsidRDefault="00D06980" w:rsidP="00E85004">
      <w:pPr>
        <w:spacing w:line="360" w:lineRule="auto"/>
        <w:jc w:val="center"/>
        <w:rPr>
          <w:rFonts w:ascii="Times New Roman" w:hAnsi="Times New Roman" w:cs="Times New Roman"/>
          <w:sz w:val="24"/>
          <w:szCs w:val="24"/>
          <w:lang w:val="pt-PT"/>
        </w:rPr>
      </w:pPr>
      <w:r>
        <w:rPr>
          <w:rFonts w:ascii="Times New Roman" w:hAnsi="Times New Roman" w:cs="Times New Roman"/>
          <w:sz w:val="24"/>
          <w:szCs w:val="24"/>
          <w:lang w:val="pt-PT"/>
        </w:rPr>
        <w:t>_________________________________________</w:t>
      </w:r>
    </w:p>
    <w:p w:rsidR="00D06980" w:rsidRDefault="00D06980" w:rsidP="00E85004">
      <w:pPr>
        <w:spacing w:line="360" w:lineRule="auto"/>
        <w:jc w:val="center"/>
        <w:rPr>
          <w:rFonts w:ascii="Times New Roman" w:hAnsi="Times New Roman" w:cs="Times New Roman"/>
          <w:sz w:val="24"/>
          <w:szCs w:val="24"/>
          <w:lang w:val="pt-PT"/>
        </w:rPr>
      </w:pPr>
      <w:r>
        <w:rPr>
          <w:rFonts w:ascii="Times New Roman" w:hAnsi="Times New Roman" w:cs="Times New Roman"/>
          <w:sz w:val="24"/>
          <w:szCs w:val="24"/>
          <w:lang w:val="pt-PT"/>
        </w:rPr>
        <w:t xml:space="preserve">Prof. Dr. Edmar </w:t>
      </w:r>
      <w:r w:rsidR="00437752">
        <w:rPr>
          <w:rFonts w:ascii="Times New Roman" w:hAnsi="Times New Roman" w:cs="Times New Roman"/>
          <w:sz w:val="24"/>
          <w:szCs w:val="24"/>
          <w:lang w:val="pt-PT"/>
        </w:rPr>
        <w:t>Luiz Fagundes de Almeida (IE-</w:t>
      </w:r>
      <w:r>
        <w:rPr>
          <w:rFonts w:ascii="Times New Roman" w:hAnsi="Times New Roman" w:cs="Times New Roman"/>
          <w:sz w:val="24"/>
          <w:szCs w:val="24"/>
          <w:lang w:val="pt-PT"/>
        </w:rPr>
        <w:t>UFRJ)</w:t>
      </w:r>
    </w:p>
    <w:p w:rsidR="00D06980" w:rsidRDefault="00D06980" w:rsidP="00E85004">
      <w:pPr>
        <w:spacing w:line="360" w:lineRule="auto"/>
        <w:jc w:val="center"/>
        <w:rPr>
          <w:rFonts w:ascii="Times New Roman" w:hAnsi="Times New Roman" w:cs="Times New Roman"/>
          <w:sz w:val="24"/>
          <w:szCs w:val="24"/>
          <w:lang w:val="pt-PT"/>
        </w:rPr>
      </w:pPr>
    </w:p>
    <w:p w:rsidR="00D06980" w:rsidRDefault="00D06980" w:rsidP="00E85004">
      <w:pPr>
        <w:spacing w:line="360" w:lineRule="auto"/>
        <w:jc w:val="center"/>
        <w:rPr>
          <w:rFonts w:ascii="Times New Roman" w:hAnsi="Times New Roman" w:cs="Times New Roman"/>
          <w:sz w:val="24"/>
          <w:szCs w:val="24"/>
          <w:lang w:val="pt-PT"/>
        </w:rPr>
      </w:pPr>
      <w:r>
        <w:rPr>
          <w:rFonts w:ascii="Times New Roman" w:hAnsi="Times New Roman" w:cs="Times New Roman"/>
          <w:sz w:val="24"/>
          <w:szCs w:val="24"/>
          <w:lang w:val="pt-PT"/>
        </w:rPr>
        <w:t>_________________________________________</w:t>
      </w:r>
    </w:p>
    <w:p w:rsidR="00D06980" w:rsidRDefault="00D06980" w:rsidP="00E85004">
      <w:pPr>
        <w:spacing w:line="360" w:lineRule="auto"/>
        <w:jc w:val="center"/>
        <w:rPr>
          <w:rFonts w:ascii="Times New Roman" w:hAnsi="Times New Roman" w:cs="Times New Roman"/>
          <w:sz w:val="24"/>
          <w:szCs w:val="24"/>
          <w:lang w:val="pt-PT"/>
        </w:rPr>
      </w:pPr>
      <w:r>
        <w:rPr>
          <w:rFonts w:ascii="Times New Roman" w:hAnsi="Times New Roman" w:cs="Times New Roman"/>
          <w:sz w:val="24"/>
          <w:szCs w:val="24"/>
          <w:lang w:val="pt-PT"/>
        </w:rPr>
        <w:t>Prof. Dr. Luiz Augusto Horta Nogueira (UNIFEI)</w:t>
      </w:r>
    </w:p>
    <w:p w:rsidR="00D06980" w:rsidRDefault="00D06980" w:rsidP="00E85004">
      <w:pPr>
        <w:spacing w:line="360" w:lineRule="auto"/>
        <w:jc w:val="center"/>
        <w:rPr>
          <w:rFonts w:ascii="Times New Roman" w:hAnsi="Times New Roman" w:cs="Times New Roman"/>
          <w:sz w:val="24"/>
          <w:szCs w:val="24"/>
          <w:lang w:val="pt-PT"/>
        </w:rPr>
      </w:pPr>
    </w:p>
    <w:p w:rsidR="00D06980" w:rsidRDefault="00D06980" w:rsidP="00D06980">
      <w:pPr>
        <w:spacing w:line="360" w:lineRule="auto"/>
        <w:jc w:val="center"/>
        <w:rPr>
          <w:rFonts w:ascii="Times New Roman" w:hAnsi="Times New Roman" w:cs="Times New Roman"/>
          <w:sz w:val="24"/>
          <w:szCs w:val="24"/>
          <w:lang w:val="pt-PT"/>
        </w:rPr>
      </w:pPr>
    </w:p>
    <w:p w:rsidR="00E85004" w:rsidRDefault="00E85004" w:rsidP="00187CB8">
      <w:pPr>
        <w:spacing w:line="360" w:lineRule="auto"/>
        <w:jc w:val="center"/>
        <w:rPr>
          <w:rFonts w:ascii="Times New Roman" w:hAnsi="Times New Roman" w:cs="Times New Roman"/>
          <w:sz w:val="24"/>
          <w:szCs w:val="24"/>
          <w:lang w:val="pt-PT"/>
        </w:rPr>
      </w:pPr>
    </w:p>
    <w:p w:rsidR="006D040F" w:rsidRDefault="00E85004" w:rsidP="00187CB8">
      <w:pPr>
        <w:spacing w:line="360" w:lineRule="auto"/>
        <w:jc w:val="center"/>
        <w:rPr>
          <w:rFonts w:ascii="Times New Roman" w:hAnsi="Times New Roman" w:cs="Times New Roman"/>
          <w:b/>
          <w:caps/>
          <w:sz w:val="24"/>
          <w:szCs w:val="24"/>
          <w:lang w:val="pt-PT"/>
        </w:rPr>
      </w:pPr>
      <w:r>
        <w:rPr>
          <w:rFonts w:ascii="Times New Roman" w:hAnsi="Times New Roman" w:cs="Times New Roman"/>
          <w:sz w:val="24"/>
          <w:szCs w:val="24"/>
          <w:lang w:val="pt-PT"/>
        </w:rPr>
        <w:t xml:space="preserve">Agosto de </w:t>
      </w:r>
      <w:r w:rsidR="00D06980">
        <w:rPr>
          <w:rFonts w:ascii="Times New Roman" w:hAnsi="Times New Roman" w:cs="Times New Roman"/>
          <w:sz w:val="24"/>
          <w:szCs w:val="24"/>
          <w:lang w:val="pt-PT"/>
        </w:rPr>
        <w:t>2012</w:t>
      </w:r>
      <w:r w:rsidR="006D040F">
        <w:rPr>
          <w:rFonts w:ascii="Times New Roman" w:hAnsi="Times New Roman" w:cs="Times New Roman"/>
          <w:b/>
          <w:caps/>
          <w:sz w:val="24"/>
          <w:szCs w:val="24"/>
          <w:lang w:val="pt-PT"/>
        </w:rPr>
        <w:br w:type="page"/>
      </w:r>
    </w:p>
    <w:p w:rsidR="00F10EFE" w:rsidRDefault="00F10EFE">
      <w:pPr>
        <w:rPr>
          <w:rFonts w:ascii="Times New Roman" w:hAnsi="Times New Roman" w:cs="Times New Roman"/>
          <w:b/>
          <w:caps/>
          <w:sz w:val="24"/>
          <w:szCs w:val="24"/>
          <w:lang w:val="pt-PT"/>
        </w:rPr>
      </w:pPr>
    </w:p>
    <w:p w:rsidR="00F10EFE" w:rsidRPr="00F10EFE" w:rsidRDefault="00F10EFE" w:rsidP="00F10EFE">
      <w:pPr>
        <w:jc w:val="center"/>
        <w:rPr>
          <w:rFonts w:ascii="Times New Roman" w:hAnsi="Times New Roman" w:cs="Times New Roman"/>
          <w:b/>
          <w:sz w:val="24"/>
          <w:szCs w:val="24"/>
          <w:lang w:val="pt-PT"/>
        </w:rPr>
      </w:pPr>
      <w:r w:rsidRPr="00F10EFE">
        <w:rPr>
          <w:rFonts w:ascii="Times New Roman" w:hAnsi="Times New Roman" w:cs="Times New Roman"/>
          <w:b/>
          <w:sz w:val="24"/>
          <w:szCs w:val="24"/>
          <w:lang w:val="pt-PT"/>
        </w:rPr>
        <w:t>AGRADECIMENTOS</w:t>
      </w:r>
    </w:p>
    <w:p w:rsidR="00F10EFE" w:rsidRPr="00F10EFE" w:rsidRDefault="00F10EFE" w:rsidP="00F10EFE">
      <w:pPr>
        <w:jc w:val="center"/>
        <w:rPr>
          <w:rFonts w:ascii="Times New Roman" w:hAnsi="Times New Roman" w:cs="Times New Roman"/>
          <w:b/>
          <w:sz w:val="24"/>
          <w:szCs w:val="24"/>
          <w:lang w:val="pt-PT"/>
        </w:rPr>
      </w:pPr>
    </w:p>
    <w:p w:rsidR="00F10EFE" w:rsidRPr="00F10EFE" w:rsidRDefault="00F10EFE">
      <w:pPr>
        <w:rPr>
          <w:rFonts w:ascii="Times New Roman" w:hAnsi="Times New Roman" w:cs="Times New Roman"/>
          <w:sz w:val="24"/>
          <w:szCs w:val="24"/>
          <w:lang w:val="pt-PT"/>
        </w:rPr>
      </w:pPr>
      <w:r w:rsidRPr="00F10EFE">
        <w:rPr>
          <w:rFonts w:ascii="Times New Roman" w:hAnsi="Times New Roman" w:cs="Times New Roman"/>
          <w:sz w:val="24"/>
          <w:szCs w:val="24"/>
          <w:lang w:val="pt-PT"/>
        </w:rPr>
        <w:t xml:space="preserve"> </w:t>
      </w:r>
    </w:p>
    <w:p w:rsidR="00F10EFE" w:rsidRPr="00F10EFE" w:rsidRDefault="00F10EFE">
      <w:pPr>
        <w:rPr>
          <w:rFonts w:ascii="Times New Roman" w:hAnsi="Times New Roman" w:cs="Times New Roman"/>
          <w:sz w:val="24"/>
          <w:szCs w:val="24"/>
          <w:lang w:val="pt-PT"/>
        </w:rPr>
      </w:pPr>
    </w:p>
    <w:p w:rsidR="00F10EFE" w:rsidRDefault="00F10EFE">
      <w:pPr>
        <w:rPr>
          <w:rFonts w:ascii="Times New Roman" w:hAnsi="Times New Roman" w:cs="Times New Roman"/>
          <w:sz w:val="24"/>
          <w:szCs w:val="24"/>
          <w:lang w:val="pt-PT"/>
        </w:rPr>
      </w:pPr>
      <w:r>
        <w:rPr>
          <w:rFonts w:ascii="Times New Roman" w:hAnsi="Times New Roman" w:cs="Times New Roman"/>
          <w:sz w:val="24"/>
          <w:szCs w:val="24"/>
          <w:lang w:val="pt-PT"/>
        </w:rPr>
        <w:t>À Agência Nacional do Petróleo, Gás e Biocombustíveis</w:t>
      </w:r>
      <w:r w:rsidR="00A40E0D">
        <w:rPr>
          <w:rFonts w:ascii="Times New Roman" w:hAnsi="Times New Roman" w:cs="Times New Roman"/>
          <w:sz w:val="24"/>
          <w:szCs w:val="24"/>
          <w:lang w:val="pt-PT"/>
        </w:rPr>
        <w:t xml:space="preserve"> (ANP)</w:t>
      </w:r>
      <w:r>
        <w:rPr>
          <w:rFonts w:ascii="Times New Roman" w:hAnsi="Times New Roman" w:cs="Times New Roman"/>
          <w:sz w:val="24"/>
          <w:szCs w:val="24"/>
          <w:lang w:val="pt-PT"/>
        </w:rPr>
        <w:t xml:space="preserve">, </w:t>
      </w:r>
      <w:r w:rsidR="00A40E0D">
        <w:rPr>
          <w:rFonts w:ascii="Times New Roman" w:hAnsi="Times New Roman" w:cs="Times New Roman"/>
          <w:sz w:val="24"/>
          <w:szCs w:val="24"/>
          <w:lang w:val="pt-PT"/>
        </w:rPr>
        <w:t>à Financiadora de Estudos e Projetos (FINEP) e ao Ministério de Ciência, Tecnologia e Inovação (MCTI), que forneceram apoio financeiro para</w:t>
      </w:r>
      <w:r w:rsidR="007A17C5">
        <w:rPr>
          <w:rFonts w:ascii="Times New Roman" w:hAnsi="Times New Roman" w:cs="Times New Roman"/>
          <w:sz w:val="24"/>
          <w:szCs w:val="24"/>
          <w:lang w:val="pt-PT"/>
        </w:rPr>
        <w:t xml:space="preserve"> a realização deste trabalho por meio do Programa de Formação de Recursos Humanos da ANP para o Setor Petróleo e Gás.</w:t>
      </w:r>
    </w:p>
    <w:p w:rsidR="00A40E0D" w:rsidRDefault="00A40E0D">
      <w:pPr>
        <w:rPr>
          <w:rFonts w:ascii="Times New Roman" w:hAnsi="Times New Roman" w:cs="Times New Roman"/>
          <w:sz w:val="24"/>
          <w:szCs w:val="24"/>
          <w:lang w:val="pt-PT"/>
        </w:rPr>
      </w:pPr>
    </w:p>
    <w:p w:rsidR="00A40E0D" w:rsidRDefault="00A40E0D">
      <w:pPr>
        <w:rPr>
          <w:rFonts w:ascii="Times New Roman" w:hAnsi="Times New Roman" w:cs="Times New Roman"/>
          <w:sz w:val="24"/>
          <w:szCs w:val="24"/>
          <w:lang w:val="pt-PT"/>
        </w:rPr>
      </w:pPr>
      <w:r>
        <w:rPr>
          <w:rFonts w:ascii="Times New Roman" w:hAnsi="Times New Roman" w:cs="Times New Roman"/>
          <w:sz w:val="24"/>
          <w:szCs w:val="24"/>
          <w:lang w:val="pt-PT"/>
        </w:rPr>
        <w:t xml:space="preserve">Ao Instituto de Economia da Universidade Federal do Rio de Janeiro, que </w:t>
      </w:r>
      <w:r w:rsidR="007A17C5">
        <w:rPr>
          <w:rFonts w:ascii="Times New Roman" w:hAnsi="Times New Roman" w:cs="Times New Roman"/>
          <w:sz w:val="24"/>
          <w:szCs w:val="24"/>
          <w:lang w:val="pt-PT"/>
        </w:rPr>
        <w:t>abriu as portas de um novo mundo acadêmico para mim.</w:t>
      </w:r>
      <w:r w:rsidR="00844FE6">
        <w:rPr>
          <w:rFonts w:ascii="Times New Roman" w:hAnsi="Times New Roman" w:cs="Times New Roman"/>
          <w:sz w:val="24"/>
          <w:szCs w:val="24"/>
          <w:lang w:val="pt-PT"/>
        </w:rPr>
        <w:t xml:space="preserve"> </w:t>
      </w:r>
    </w:p>
    <w:p w:rsidR="00A40E0D" w:rsidRDefault="00A40E0D">
      <w:pPr>
        <w:rPr>
          <w:rFonts w:ascii="Times New Roman" w:hAnsi="Times New Roman" w:cs="Times New Roman"/>
          <w:sz w:val="24"/>
          <w:szCs w:val="24"/>
          <w:lang w:val="pt-PT"/>
        </w:rPr>
      </w:pPr>
    </w:p>
    <w:p w:rsidR="00A40E0D" w:rsidRDefault="00A40E0D" w:rsidP="00DE174C">
      <w:pPr>
        <w:tabs>
          <w:tab w:val="right" w:pos="9071"/>
        </w:tabs>
        <w:rPr>
          <w:rFonts w:ascii="Times New Roman" w:hAnsi="Times New Roman" w:cs="Times New Roman"/>
          <w:sz w:val="24"/>
          <w:szCs w:val="24"/>
          <w:lang w:val="pt-PT"/>
        </w:rPr>
      </w:pPr>
      <w:r>
        <w:rPr>
          <w:rFonts w:ascii="Times New Roman" w:hAnsi="Times New Roman" w:cs="Times New Roman"/>
          <w:sz w:val="24"/>
          <w:szCs w:val="24"/>
          <w:lang w:val="pt-PT"/>
        </w:rPr>
        <w:t>Ao Pro</w:t>
      </w:r>
      <w:r w:rsidR="00844FE6">
        <w:rPr>
          <w:rFonts w:ascii="Times New Roman" w:hAnsi="Times New Roman" w:cs="Times New Roman"/>
          <w:sz w:val="24"/>
          <w:szCs w:val="24"/>
          <w:lang w:val="pt-PT"/>
        </w:rPr>
        <w:t>f. Helder</w:t>
      </w:r>
      <w:r w:rsidR="00DE174C">
        <w:rPr>
          <w:rFonts w:ascii="Times New Roman" w:hAnsi="Times New Roman" w:cs="Times New Roman"/>
          <w:sz w:val="24"/>
          <w:szCs w:val="24"/>
          <w:lang w:val="pt-PT"/>
        </w:rPr>
        <w:t xml:space="preserve"> e ao Prof. José Vitor, pelos ensinamentos dur</w:t>
      </w:r>
      <w:r w:rsidR="00EE592E">
        <w:rPr>
          <w:rFonts w:ascii="Times New Roman" w:hAnsi="Times New Roman" w:cs="Times New Roman"/>
          <w:sz w:val="24"/>
          <w:szCs w:val="24"/>
          <w:lang w:val="pt-PT"/>
        </w:rPr>
        <w:t>ante as cadeiras ministradas e valiosas contribuições para a</w:t>
      </w:r>
      <w:r w:rsidR="00DE174C">
        <w:rPr>
          <w:rFonts w:ascii="Times New Roman" w:hAnsi="Times New Roman" w:cs="Times New Roman"/>
          <w:sz w:val="24"/>
          <w:szCs w:val="24"/>
          <w:lang w:val="pt-PT"/>
        </w:rPr>
        <w:t xml:space="preserve"> elaboração deste trabalho</w:t>
      </w:r>
      <w:r w:rsidR="00EE592E">
        <w:rPr>
          <w:rFonts w:ascii="Times New Roman" w:hAnsi="Times New Roman" w:cs="Times New Roman"/>
          <w:sz w:val="24"/>
          <w:szCs w:val="24"/>
          <w:lang w:val="pt-PT"/>
        </w:rPr>
        <w:t>, além da</w:t>
      </w:r>
      <w:r w:rsidR="00DE174C">
        <w:rPr>
          <w:rFonts w:ascii="Times New Roman" w:hAnsi="Times New Roman" w:cs="Times New Roman"/>
          <w:sz w:val="24"/>
          <w:szCs w:val="24"/>
          <w:lang w:val="pt-PT"/>
        </w:rPr>
        <w:t xml:space="preserve"> confiança que sempre </w:t>
      </w:r>
      <w:r w:rsidR="00EE592E">
        <w:rPr>
          <w:rFonts w:ascii="Times New Roman" w:hAnsi="Times New Roman" w:cs="Times New Roman"/>
          <w:sz w:val="24"/>
          <w:szCs w:val="24"/>
          <w:lang w:val="pt-PT"/>
        </w:rPr>
        <w:t>demonstraram ter</w:t>
      </w:r>
      <w:r w:rsidR="00DE174C">
        <w:rPr>
          <w:rFonts w:ascii="Times New Roman" w:hAnsi="Times New Roman" w:cs="Times New Roman"/>
          <w:sz w:val="24"/>
          <w:szCs w:val="24"/>
          <w:lang w:val="pt-PT"/>
        </w:rPr>
        <w:t xml:space="preserve"> em</w:t>
      </w:r>
      <w:r w:rsidR="00EE592E">
        <w:rPr>
          <w:rFonts w:ascii="Times New Roman" w:hAnsi="Times New Roman" w:cs="Times New Roman"/>
          <w:sz w:val="24"/>
          <w:szCs w:val="24"/>
          <w:lang w:val="pt-PT"/>
        </w:rPr>
        <w:t xml:space="preserve"> mim.</w:t>
      </w:r>
      <w:r w:rsidR="00DE174C">
        <w:rPr>
          <w:rFonts w:ascii="Times New Roman" w:hAnsi="Times New Roman" w:cs="Times New Roman"/>
          <w:sz w:val="24"/>
          <w:szCs w:val="24"/>
          <w:lang w:val="pt-PT"/>
        </w:rPr>
        <w:tab/>
      </w:r>
    </w:p>
    <w:p w:rsidR="00A40E0D" w:rsidRDefault="00A40E0D">
      <w:pPr>
        <w:rPr>
          <w:rFonts w:ascii="Times New Roman" w:hAnsi="Times New Roman" w:cs="Times New Roman"/>
          <w:sz w:val="24"/>
          <w:szCs w:val="24"/>
          <w:lang w:val="pt-PT"/>
        </w:rPr>
      </w:pPr>
    </w:p>
    <w:p w:rsidR="00A40E0D" w:rsidRDefault="00A40E0D">
      <w:pPr>
        <w:rPr>
          <w:rFonts w:ascii="Times New Roman" w:hAnsi="Times New Roman" w:cs="Times New Roman"/>
          <w:sz w:val="24"/>
          <w:szCs w:val="24"/>
          <w:lang w:val="pt-PT"/>
        </w:rPr>
      </w:pPr>
      <w:r>
        <w:rPr>
          <w:rFonts w:ascii="Times New Roman" w:hAnsi="Times New Roman" w:cs="Times New Roman"/>
          <w:sz w:val="24"/>
          <w:szCs w:val="24"/>
          <w:lang w:val="pt-PT"/>
        </w:rPr>
        <w:t>Ao Grupo de Economia da Energia</w:t>
      </w:r>
      <w:r w:rsidR="00063473">
        <w:rPr>
          <w:rFonts w:ascii="Times New Roman" w:hAnsi="Times New Roman" w:cs="Times New Roman"/>
          <w:sz w:val="24"/>
          <w:szCs w:val="24"/>
          <w:lang w:val="pt-PT"/>
        </w:rPr>
        <w:t>, pelo ambiente que propicia o debate e o surgimento de novas ideias.</w:t>
      </w:r>
      <w:r w:rsidR="007A17C5">
        <w:rPr>
          <w:rFonts w:ascii="Times New Roman" w:hAnsi="Times New Roman" w:cs="Times New Roman"/>
          <w:sz w:val="24"/>
          <w:szCs w:val="24"/>
          <w:lang w:val="pt-PT"/>
        </w:rPr>
        <w:t xml:space="preserve"> Às secretárias Joseane e Daisy, pelo carinho e atenção. Ao Prof. Ronaldo Bicalho, pelos comentários e sugestões durante a defesa </w:t>
      </w:r>
      <w:r w:rsidR="00EE592E">
        <w:rPr>
          <w:rFonts w:ascii="Times New Roman" w:hAnsi="Times New Roman" w:cs="Times New Roman"/>
          <w:sz w:val="24"/>
          <w:szCs w:val="24"/>
          <w:lang w:val="pt-PT"/>
        </w:rPr>
        <w:t xml:space="preserve">e elaboração </w:t>
      </w:r>
      <w:r w:rsidR="007A17C5">
        <w:rPr>
          <w:rFonts w:ascii="Times New Roman" w:hAnsi="Times New Roman" w:cs="Times New Roman"/>
          <w:sz w:val="24"/>
          <w:szCs w:val="24"/>
          <w:lang w:val="pt-PT"/>
        </w:rPr>
        <w:t>do projeto</w:t>
      </w:r>
      <w:r w:rsidR="00EE592E">
        <w:rPr>
          <w:rFonts w:ascii="Times New Roman" w:hAnsi="Times New Roman" w:cs="Times New Roman"/>
          <w:sz w:val="24"/>
          <w:szCs w:val="24"/>
          <w:lang w:val="pt-PT"/>
        </w:rPr>
        <w:t xml:space="preserve"> de dissertação</w:t>
      </w:r>
      <w:r w:rsidR="007A17C5">
        <w:rPr>
          <w:rFonts w:ascii="Times New Roman" w:hAnsi="Times New Roman" w:cs="Times New Roman"/>
          <w:sz w:val="24"/>
          <w:szCs w:val="24"/>
          <w:lang w:val="pt-PT"/>
        </w:rPr>
        <w:t>.</w:t>
      </w:r>
      <w:r w:rsidR="00844FE6">
        <w:rPr>
          <w:rFonts w:ascii="Times New Roman" w:hAnsi="Times New Roman" w:cs="Times New Roman"/>
          <w:sz w:val="24"/>
          <w:szCs w:val="24"/>
          <w:lang w:val="pt-PT"/>
        </w:rPr>
        <w:t xml:space="preserve"> </w:t>
      </w:r>
      <w:r w:rsidR="00EE592E">
        <w:rPr>
          <w:rFonts w:ascii="Times New Roman" w:hAnsi="Times New Roman" w:cs="Times New Roman"/>
          <w:sz w:val="24"/>
          <w:szCs w:val="24"/>
          <w:lang w:val="pt-PT"/>
        </w:rPr>
        <w:t>Ao Marcelo e ao Thales, pelos conselhos de veteranos.</w:t>
      </w:r>
    </w:p>
    <w:p w:rsidR="00A40E0D" w:rsidRDefault="00A40E0D">
      <w:pPr>
        <w:rPr>
          <w:rFonts w:ascii="Times New Roman" w:hAnsi="Times New Roman" w:cs="Times New Roman"/>
          <w:sz w:val="24"/>
          <w:szCs w:val="24"/>
          <w:lang w:val="pt-PT"/>
        </w:rPr>
      </w:pPr>
    </w:p>
    <w:p w:rsidR="00A40E0D" w:rsidRDefault="00A40E0D">
      <w:pPr>
        <w:rPr>
          <w:rFonts w:ascii="Times New Roman" w:hAnsi="Times New Roman" w:cs="Times New Roman"/>
          <w:sz w:val="24"/>
          <w:szCs w:val="24"/>
          <w:lang w:val="pt-PT"/>
        </w:rPr>
      </w:pPr>
      <w:r>
        <w:rPr>
          <w:rFonts w:ascii="Times New Roman" w:hAnsi="Times New Roman" w:cs="Times New Roman"/>
          <w:sz w:val="24"/>
          <w:szCs w:val="24"/>
          <w:lang w:val="pt-PT"/>
        </w:rPr>
        <w:t>Aos me</w:t>
      </w:r>
      <w:r w:rsidR="00063473">
        <w:rPr>
          <w:rFonts w:ascii="Times New Roman" w:hAnsi="Times New Roman" w:cs="Times New Roman"/>
          <w:sz w:val="24"/>
          <w:szCs w:val="24"/>
          <w:lang w:val="pt-PT"/>
        </w:rPr>
        <w:t xml:space="preserve">us </w:t>
      </w:r>
      <w:r w:rsidR="007A17C5">
        <w:rPr>
          <w:rFonts w:ascii="Times New Roman" w:hAnsi="Times New Roman" w:cs="Times New Roman"/>
          <w:sz w:val="24"/>
          <w:szCs w:val="24"/>
          <w:lang w:val="pt-PT"/>
        </w:rPr>
        <w:t>companheiros</w:t>
      </w:r>
      <w:r w:rsidR="00B16EDB">
        <w:rPr>
          <w:rFonts w:ascii="Times New Roman" w:hAnsi="Times New Roman" w:cs="Times New Roman"/>
          <w:sz w:val="24"/>
          <w:szCs w:val="24"/>
          <w:lang w:val="pt-PT"/>
        </w:rPr>
        <w:t xml:space="preserve"> do </w:t>
      </w:r>
      <w:r>
        <w:rPr>
          <w:rFonts w:ascii="Times New Roman" w:hAnsi="Times New Roman" w:cs="Times New Roman"/>
          <w:sz w:val="24"/>
          <w:szCs w:val="24"/>
          <w:lang w:val="pt-PT"/>
        </w:rPr>
        <w:t>mestrado, Paula, Norberto, Tarciso, Bernardo, Nathália e Luana</w:t>
      </w:r>
      <w:r w:rsidR="00063473">
        <w:rPr>
          <w:rFonts w:ascii="Times New Roman" w:hAnsi="Times New Roman" w:cs="Times New Roman"/>
          <w:sz w:val="24"/>
          <w:szCs w:val="24"/>
          <w:lang w:val="pt-PT"/>
        </w:rPr>
        <w:t>, que tornaram menos sofrido o curso do mestrado.</w:t>
      </w:r>
    </w:p>
    <w:p w:rsidR="00A40E0D" w:rsidRDefault="00A40E0D">
      <w:pPr>
        <w:rPr>
          <w:rFonts w:ascii="Times New Roman" w:hAnsi="Times New Roman" w:cs="Times New Roman"/>
          <w:sz w:val="24"/>
          <w:szCs w:val="24"/>
          <w:lang w:val="pt-PT"/>
        </w:rPr>
      </w:pPr>
    </w:p>
    <w:p w:rsidR="00A40E0D" w:rsidRDefault="00A40E0D">
      <w:pPr>
        <w:rPr>
          <w:rFonts w:ascii="Times New Roman" w:hAnsi="Times New Roman" w:cs="Times New Roman"/>
          <w:sz w:val="24"/>
          <w:szCs w:val="24"/>
          <w:lang w:val="pt-PT"/>
        </w:rPr>
      </w:pPr>
      <w:r>
        <w:rPr>
          <w:rFonts w:ascii="Times New Roman" w:hAnsi="Times New Roman" w:cs="Times New Roman"/>
          <w:sz w:val="24"/>
          <w:szCs w:val="24"/>
          <w:lang w:val="pt-PT"/>
        </w:rPr>
        <w:t xml:space="preserve">À </w:t>
      </w:r>
      <w:r w:rsidR="00063473">
        <w:rPr>
          <w:rFonts w:ascii="Times New Roman" w:hAnsi="Times New Roman" w:cs="Times New Roman"/>
          <w:sz w:val="24"/>
          <w:szCs w:val="24"/>
          <w:lang w:val="pt-PT"/>
        </w:rPr>
        <w:t>Caroline, pela amizade e companheirismo durante toda a jornada carioca.</w:t>
      </w:r>
    </w:p>
    <w:p w:rsidR="00063473" w:rsidRDefault="00063473">
      <w:pPr>
        <w:rPr>
          <w:rFonts w:ascii="Times New Roman" w:hAnsi="Times New Roman" w:cs="Times New Roman"/>
          <w:sz w:val="24"/>
          <w:szCs w:val="24"/>
          <w:lang w:val="pt-PT"/>
        </w:rPr>
      </w:pPr>
    </w:p>
    <w:p w:rsidR="00063473" w:rsidRPr="00F10EFE" w:rsidRDefault="00063473">
      <w:pPr>
        <w:rPr>
          <w:rFonts w:ascii="Times New Roman" w:hAnsi="Times New Roman" w:cs="Times New Roman"/>
          <w:sz w:val="24"/>
          <w:szCs w:val="24"/>
          <w:lang w:val="pt-PT"/>
        </w:rPr>
      </w:pPr>
      <w:r>
        <w:rPr>
          <w:rFonts w:ascii="Times New Roman" w:hAnsi="Times New Roman" w:cs="Times New Roman"/>
          <w:sz w:val="24"/>
          <w:szCs w:val="24"/>
          <w:lang w:val="pt-PT"/>
        </w:rPr>
        <w:t xml:space="preserve">Por fim, aos meus pais, pelo amor e suporte emocional </w:t>
      </w:r>
      <w:r w:rsidR="009F477C">
        <w:rPr>
          <w:rFonts w:ascii="Times New Roman" w:hAnsi="Times New Roman" w:cs="Times New Roman"/>
          <w:sz w:val="24"/>
          <w:szCs w:val="24"/>
          <w:lang w:val="pt-PT"/>
        </w:rPr>
        <w:t>e financeiro</w:t>
      </w:r>
      <w:r>
        <w:rPr>
          <w:rFonts w:ascii="Times New Roman" w:hAnsi="Times New Roman" w:cs="Times New Roman"/>
          <w:sz w:val="24"/>
          <w:szCs w:val="24"/>
          <w:lang w:val="pt-PT"/>
        </w:rPr>
        <w:t>.</w:t>
      </w:r>
    </w:p>
    <w:p w:rsidR="00F10EFE" w:rsidRPr="00F10EFE" w:rsidRDefault="00F10EFE">
      <w:pPr>
        <w:rPr>
          <w:rFonts w:ascii="Times New Roman" w:hAnsi="Times New Roman" w:cs="Times New Roman"/>
          <w:sz w:val="24"/>
          <w:szCs w:val="24"/>
          <w:lang w:val="pt-PT"/>
        </w:rPr>
      </w:pPr>
    </w:p>
    <w:p w:rsidR="00F10EFE" w:rsidRPr="00F10EFE" w:rsidRDefault="00F10EFE">
      <w:pPr>
        <w:rPr>
          <w:rFonts w:ascii="Times New Roman" w:hAnsi="Times New Roman" w:cs="Times New Roman"/>
          <w:sz w:val="24"/>
          <w:szCs w:val="24"/>
          <w:lang w:val="pt-PT"/>
        </w:rPr>
      </w:pPr>
    </w:p>
    <w:p w:rsidR="00F10EFE" w:rsidRPr="00F10EFE" w:rsidRDefault="00F10EFE">
      <w:pPr>
        <w:rPr>
          <w:rFonts w:ascii="Times New Roman" w:hAnsi="Times New Roman" w:cs="Times New Roman"/>
          <w:sz w:val="24"/>
          <w:szCs w:val="24"/>
          <w:lang w:val="pt-PT"/>
        </w:rPr>
      </w:pPr>
    </w:p>
    <w:p w:rsidR="00F10EFE" w:rsidRPr="00F10EFE" w:rsidRDefault="00F10EFE">
      <w:pPr>
        <w:rPr>
          <w:rFonts w:ascii="Times New Roman" w:hAnsi="Times New Roman" w:cs="Times New Roman"/>
          <w:sz w:val="24"/>
          <w:szCs w:val="24"/>
          <w:lang w:val="pt-PT"/>
        </w:rPr>
      </w:pPr>
    </w:p>
    <w:p w:rsidR="00F10EFE" w:rsidRPr="00F10EFE" w:rsidRDefault="00F10EFE">
      <w:pPr>
        <w:rPr>
          <w:rFonts w:ascii="Times New Roman" w:hAnsi="Times New Roman" w:cs="Times New Roman"/>
          <w:sz w:val="24"/>
          <w:szCs w:val="24"/>
          <w:lang w:val="pt-PT"/>
        </w:rPr>
      </w:pPr>
    </w:p>
    <w:p w:rsidR="00F10EFE" w:rsidRPr="00F10EFE" w:rsidRDefault="00F10EFE">
      <w:pPr>
        <w:rPr>
          <w:rFonts w:ascii="Times New Roman" w:hAnsi="Times New Roman" w:cs="Times New Roman"/>
          <w:sz w:val="24"/>
          <w:szCs w:val="24"/>
          <w:lang w:val="pt-PT"/>
        </w:rPr>
      </w:pPr>
    </w:p>
    <w:p w:rsidR="00F10EFE" w:rsidRPr="00F10EFE" w:rsidRDefault="00F10EFE">
      <w:pPr>
        <w:rPr>
          <w:rFonts w:ascii="Times New Roman" w:hAnsi="Times New Roman" w:cs="Times New Roman"/>
          <w:sz w:val="24"/>
          <w:szCs w:val="24"/>
          <w:lang w:val="pt-PT"/>
        </w:rPr>
      </w:pPr>
    </w:p>
    <w:p w:rsidR="00F10EFE" w:rsidRPr="00F10EFE" w:rsidRDefault="00F10EFE">
      <w:pPr>
        <w:rPr>
          <w:rFonts w:ascii="Times New Roman" w:hAnsi="Times New Roman" w:cs="Times New Roman"/>
          <w:sz w:val="24"/>
          <w:szCs w:val="24"/>
          <w:lang w:val="pt-PT"/>
        </w:rPr>
      </w:pPr>
    </w:p>
    <w:p w:rsidR="00F10EFE" w:rsidRPr="00F10EFE" w:rsidRDefault="00F10EFE">
      <w:pPr>
        <w:rPr>
          <w:rFonts w:ascii="Times New Roman" w:hAnsi="Times New Roman" w:cs="Times New Roman"/>
          <w:sz w:val="24"/>
          <w:szCs w:val="24"/>
          <w:lang w:val="pt-PT"/>
        </w:rPr>
      </w:pPr>
    </w:p>
    <w:p w:rsidR="00F10EFE" w:rsidRPr="00F10EFE" w:rsidRDefault="00F10EFE">
      <w:pPr>
        <w:rPr>
          <w:rFonts w:ascii="Times New Roman" w:hAnsi="Times New Roman" w:cs="Times New Roman"/>
          <w:sz w:val="24"/>
          <w:szCs w:val="24"/>
          <w:lang w:val="pt-PT"/>
        </w:rPr>
      </w:pPr>
    </w:p>
    <w:p w:rsidR="00F10EFE" w:rsidRPr="00F10EFE" w:rsidRDefault="00F10EFE">
      <w:pPr>
        <w:rPr>
          <w:rFonts w:ascii="Times New Roman" w:hAnsi="Times New Roman" w:cs="Times New Roman"/>
          <w:sz w:val="24"/>
          <w:szCs w:val="24"/>
          <w:lang w:val="pt-PT"/>
        </w:rPr>
      </w:pPr>
    </w:p>
    <w:p w:rsidR="00F10EFE" w:rsidRPr="00F10EFE" w:rsidRDefault="00F10EFE">
      <w:pPr>
        <w:rPr>
          <w:rFonts w:ascii="Times New Roman" w:hAnsi="Times New Roman" w:cs="Times New Roman"/>
          <w:sz w:val="24"/>
          <w:szCs w:val="24"/>
          <w:lang w:val="pt-PT"/>
        </w:rPr>
      </w:pPr>
    </w:p>
    <w:p w:rsidR="00F10EFE" w:rsidRPr="00F10EFE" w:rsidRDefault="00F10EFE">
      <w:pPr>
        <w:rPr>
          <w:rFonts w:ascii="Times New Roman" w:hAnsi="Times New Roman" w:cs="Times New Roman"/>
          <w:sz w:val="24"/>
          <w:szCs w:val="24"/>
          <w:lang w:val="pt-PT"/>
        </w:rPr>
      </w:pPr>
    </w:p>
    <w:p w:rsidR="00F10EFE" w:rsidRPr="00F10EFE" w:rsidRDefault="00F10EFE">
      <w:pPr>
        <w:rPr>
          <w:rFonts w:ascii="Times New Roman" w:hAnsi="Times New Roman" w:cs="Times New Roman"/>
          <w:sz w:val="24"/>
          <w:szCs w:val="24"/>
          <w:lang w:val="pt-PT"/>
        </w:rPr>
      </w:pPr>
    </w:p>
    <w:p w:rsidR="00F10EFE" w:rsidRPr="00F10EFE" w:rsidRDefault="00F10EFE">
      <w:pPr>
        <w:rPr>
          <w:rFonts w:ascii="Times New Roman" w:hAnsi="Times New Roman" w:cs="Times New Roman"/>
          <w:sz w:val="24"/>
          <w:szCs w:val="24"/>
          <w:lang w:val="pt-PT"/>
        </w:rPr>
      </w:pPr>
    </w:p>
    <w:p w:rsidR="00F10EFE" w:rsidRPr="00F10EFE" w:rsidRDefault="00F10EFE">
      <w:pPr>
        <w:rPr>
          <w:rFonts w:ascii="Times New Roman" w:hAnsi="Times New Roman" w:cs="Times New Roman"/>
          <w:sz w:val="24"/>
          <w:szCs w:val="24"/>
          <w:lang w:val="pt-PT"/>
        </w:rPr>
      </w:pPr>
    </w:p>
    <w:p w:rsidR="00F10EFE" w:rsidRPr="00F10EFE" w:rsidRDefault="00F10EFE">
      <w:pPr>
        <w:rPr>
          <w:rFonts w:ascii="Times New Roman" w:hAnsi="Times New Roman" w:cs="Times New Roman"/>
          <w:sz w:val="24"/>
          <w:szCs w:val="24"/>
          <w:lang w:val="pt-PT"/>
        </w:rPr>
      </w:pPr>
    </w:p>
    <w:p w:rsidR="00F10EFE" w:rsidRPr="00F10EFE" w:rsidRDefault="00F10EFE">
      <w:pPr>
        <w:rPr>
          <w:rFonts w:ascii="Times New Roman" w:hAnsi="Times New Roman" w:cs="Times New Roman"/>
          <w:sz w:val="24"/>
          <w:szCs w:val="24"/>
          <w:lang w:val="pt-PT"/>
        </w:rPr>
      </w:pPr>
    </w:p>
    <w:p w:rsidR="00F10EFE" w:rsidRPr="00F10EFE" w:rsidRDefault="00F10EFE">
      <w:pPr>
        <w:rPr>
          <w:rFonts w:ascii="Times New Roman" w:hAnsi="Times New Roman" w:cs="Times New Roman"/>
          <w:sz w:val="24"/>
          <w:szCs w:val="24"/>
          <w:lang w:val="pt-PT"/>
        </w:rPr>
      </w:pPr>
    </w:p>
    <w:p w:rsidR="00F10EFE" w:rsidRPr="00F10EFE" w:rsidRDefault="00F10EFE">
      <w:pPr>
        <w:rPr>
          <w:rFonts w:ascii="Times New Roman" w:hAnsi="Times New Roman" w:cs="Times New Roman"/>
          <w:sz w:val="24"/>
          <w:szCs w:val="24"/>
          <w:lang w:val="pt-PT"/>
        </w:rPr>
      </w:pPr>
    </w:p>
    <w:p w:rsidR="00F10EFE" w:rsidRDefault="00F10EFE">
      <w:pPr>
        <w:rPr>
          <w:rFonts w:ascii="Times New Roman" w:hAnsi="Times New Roman" w:cs="Times New Roman"/>
          <w:sz w:val="24"/>
          <w:szCs w:val="24"/>
          <w:lang w:val="pt-PT"/>
        </w:rPr>
      </w:pPr>
    </w:p>
    <w:p w:rsidR="00F10EFE" w:rsidRDefault="00F10EFE">
      <w:pPr>
        <w:rPr>
          <w:rFonts w:ascii="Times New Roman" w:hAnsi="Times New Roman" w:cs="Times New Roman"/>
          <w:sz w:val="24"/>
          <w:szCs w:val="24"/>
          <w:lang w:val="pt-PT"/>
        </w:rPr>
      </w:pPr>
    </w:p>
    <w:p w:rsidR="00F10EFE" w:rsidRDefault="00F10EFE">
      <w:pPr>
        <w:rPr>
          <w:rFonts w:ascii="Times New Roman" w:hAnsi="Times New Roman" w:cs="Times New Roman"/>
          <w:sz w:val="24"/>
          <w:szCs w:val="24"/>
          <w:lang w:val="pt-PT"/>
        </w:rPr>
      </w:pPr>
    </w:p>
    <w:p w:rsidR="00F10EFE" w:rsidRDefault="00F10EFE">
      <w:pPr>
        <w:rPr>
          <w:rFonts w:ascii="Times New Roman" w:hAnsi="Times New Roman" w:cs="Times New Roman"/>
          <w:sz w:val="24"/>
          <w:szCs w:val="24"/>
          <w:lang w:val="pt-PT"/>
        </w:rPr>
      </w:pPr>
    </w:p>
    <w:p w:rsidR="00F10EFE" w:rsidRDefault="00F10EFE">
      <w:pPr>
        <w:rPr>
          <w:rFonts w:ascii="Times New Roman" w:hAnsi="Times New Roman" w:cs="Times New Roman"/>
          <w:sz w:val="24"/>
          <w:szCs w:val="24"/>
          <w:lang w:val="pt-PT"/>
        </w:rPr>
      </w:pPr>
    </w:p>
    <w:p w:rsidR="00F10EFE" w:rsidRDefault="00F10EFE">
      <w:pPr>
        <w:rPr>
          <w:rFonts w:ascii="Times New Roman" w:hAnsi="Times New Roman" w:cs="Times New Roman"/>
          <w:sz w:val="24"/>
          <w:szCs w:val="24"/>
          <w:lang w:val="pt-PT"/>
        </w:rPr>
      </w:pPr>
    </w:p>
    <w:p w:rsidR="00F10EFE" w:rsidRDefault="00F10EFE">
      <w:pPr>
        <w:rPr>
          <w:rFonts w:ascii="Times New Roman" w:hAnsi="Times New Roman" w:cs="Times New Roman"/>
          <w:sz w:val="24"/>
          <w:szCs w:val="24"/>
          <w:lang w:val="pt-PT"/>
        </w:rPr>
      </w:pPr>
    </w:p>
    <w:p w:rsidR="00F10EFE" w:rsidRDefault="00F10EFE">
      <w:pPr>
        <w:rPr>
          <w:rFonts w:ascii="Times New Roman" w:hAnsi="Times New Roman" w:cs="Times New Roman"/>
          <w:sz w:val="24"/>
          <w:szCs w:val="24"/>
          <w:lang w:val="pt-PT"/>
        </w:rPr>
      </w:pPr>
    </w:p>
    <w:p w:rsidR="00F10EFE" w:rsidRDefault="00F10EFE">
      <w:pPr>
        <w:rPr>
          <w:rFonts w:ascii="Times New Roman" w:hAnsi="Times New Roman" w:cs="Times New Roman"/>
          <w:sz w:val="24"/>
          <w:szCs w:val="24"/>
          <w:lang w:val="pt-PT"/>
        </w:rPr>
      </w:pPr>
    </w:p>
    <w:p w:rsidR="00F10EFE" w:rsidRDefault="00F10EFE">
      <w:pPr>
        <w:rPr>
          <w:rFonts w:ascii="Times New Roman" w:hAnsi="Times New Roman" w:cs="Times New Roman"/>
          <w:sz w:val="24"/>
          <w:szCs w:val="24"/>
          <w:lang w:val="pt-PT"/>
        </w:rPr>
      </w:pPr>
    </w:p>
    <w:p w:rsidR="00F10EFE" w:rsidRDefault="00F10EFE">
      <w:pPr>
        <w:rPr>
          <w:rFonts w:ascii="Times New Roman" w:hAnsi="Times New Roman" w:cs="Times New Roman"/>
          <w:sz w:val="24"/>
          <w:szCs w:val="24"/>
          <w:lang w:val="pt-PT"/>
        </w:rPr>
      </w:pPr>
    </w:p>
    <w:p w:rsidR="007A17C5" w:rsidRDefault="007A17C5">
      <w:pPr>
        <w:rPr>
          <w:rFonts w:ascii="Times New Roman" w:hAnsi="Times New Roman" w:cs="Times New Roman"/>
          <w:sz w:val="24"/>
          <w:szCs w:val="24"/>
          <w:lang w:val="pt-PT"/>
        </w:rPr>
      </w:pPr>
    </w:p>
    <w:p w:rsidR="007A17C5" w:rsidRDefault="007A17C5">
      <w:pPr>
        <w:rPr>
          <w:rFonts w:ascii="Times New Roman" w:hAnsi="Times New Roman" w:cs="Times New Roman"/>
          <w:sz w:val="24"/>
          <w:szCs w:val="24"/>
          <w:lang w:val="pt-PT"/>
        </w:rPr>
      </w:pPr>
    </w:p>
    <w:p w:rsidR="007A17C5" w:rsidRDefault="007A17C5">
      <w:pPr>
        <w:rPr>
          <w:rFonts w:ascii="Times New Roman" w:hAnsi="Times New Roman" w:cs="Times New Roman"/>
          <w:sz w:val="24"/>
          <w:szCs w:val="24"/>
          <w:lang w:val="pt-PT"/>
        </w:rPr>
      </w:pPr>
    </w:p>
    <w:p w:rsidR="007A17C5" w:rsidRDefault="007A17C5">
      <w:pPr>
        <w:rPr>
          <w:rFonts w:ascii="Times New Roman" w:hAnsi="Times New Roman" w:cs="Times New Roman"/>
          <w:sz w:val="24"/>
          <w:szCs w:val="24"/>
          <w:lang w:val="pt-PT"/>
        </w:rPr>
      </w:pPr>
    </w:p>
    <w:p w:rsidR="007A17C5" w:rsidRDefault="007A17C5">
      <w:pPr>
        <w:rPr>
          <w:rFonts w:ascii="Times New Roman" w:hAnsi="Times New Roman" w:cs="Times New Roman"/>
          <w:sz w:val="24"/>
          <w:szCs w:val="24"/>
          <w:lang w:val="pt-PT"/>
        </w:rPr>
      </w:pPr>
    </w:p>
    <w:p w:rsidR="007A17C5" w:rsidRDefault="007A17C5">
      <w:pPr>
        <w:rPr>
          <w:rFonts w:ascii="Times New Roman" w:hAnsi="Times New Roman" w:cs="Times New Roman"/>
          <w:sz w:val="24"/>
          <w:szCs w:val="24"/>
          <w:lang w:val="pt-PT"/>
        </w:rPr>
      </w:pPr>
    </w:p>
    <w:p w:rsidR="007A17C5" w:rsidRDefault="007A17C5">
      <w:pPr>
        <w:rPr>
          <w:rFonts w:ascii="Times New Roman" w:hAnsi="Times New Roman" w:cs="Times New Roman"/>
          <w:sz w:val="24"/>
          <w:szCs w:val="24"/>
          <w:lang w:val="pt-PT"/>
        </w:rPr>
      </w:pPr>
    </w:p>
    <w:p w:rsidR="007A17C5" w:rsidRDefault="007A17C5">
      <w:pPr>
        <w:rPr>
          <w:rFonts w:ascii="Times New Roman" w:hAnsi="Times New Roman" w:cs="Times New Roman"/>
          <w:sz w:val="24"/>
          <w:szCs w:val="24"/>
          <w:lang w:val="pt-PT"/>
        </w:rPr>
      </w:pPr>
    </w:p>
    <w:p w:rsidR="007A17C5" w:rsidRDefault="007A17C5">
      <w:pPr>
        <w:rPr>
          <w:rFonts w:ascii="Times New Roman" w:hAnsi="Times New Roman" w:cs="Times New Roman"/>
          <w:sz w:val="24"/>
          <w:szCs w:val="24"/>
          <w:lang w:val="pt-PT"/>
        </w:rPr>
      </w:pPr>
    </w:p>
    <w:p w:rsidR="007A17C5" w:rsidRDefault="007A17C5">
      <w:pPr>
        <w:rPr>
          <w:rFonts w:ascii="Times New Roman" w:hAnsi="Times New Roman" w:cs="Times New Roman"/>
          <w:sz w:val="24"/>
          <w:szCs w:val="24"/>
          <w:lang w:val="pt-PT"/>
        </w:rPr>
      </w:pPr>
    </w:p>
    <w:p w:rsidR="007A17C5" w:rsidRDefault="007A17C5">
      <w:pPr>
        <w:rPr>
          <w:rFonts w:ascii="Times New Roman" w:hAnsi="Times New Roman" w:cs="Times New Roman"/>
          <w:sz w:val="24"/>
          <w:szCs w:val="24"/>
          <w:lang w:val="pt-PT"/>
        </w:rPr>
      </w:pPr>
    </w:p>
    <w:p w:rsidR="007A17C5" w:rsidRDefault="007A17C5">
      <w:pPr>
        <w:rPr>
          <w:rFonts w:ascii="Times New Roman" w:hAnsi="Times New Roman" w:cs="Times New Roman"/>
          <w:sz w:val="24"/>
          <w:szCs w:val="24"/>
          <w:lang w:val="pt-PT"/>
        </w:rPr>
      </w:pPr>
    </w:p>
    <w:p w:rsidR="007A17C5" w:rsidRDefault="007A17C5">
      <w:pPr>
        <w:rPr>
          <w:rFonts w:ascii="Times New Roman" w:hAnsi="Times New Roman" w:cs="Times New Roman"/>
          <w:sz w:val="24"/>
          <w:szCs w:val="24"/>
          <w:lang w:val="pt-PT"/>
        </w:rPr>
      </w:pPr>
    </w:p>
    <w:p w:rsidR="007A17C5" w:rsidRDefault="007A17C5">
      <w:pPr>
        <w:rPr>
          <w:rFonts w:ascii="Times New Roman" w:hAnsi="Times New Roman" w:cs="Times New Roman"/>
          <w:sz w:val="24"/>
          <w:szCs w:val="24"/>
          <w:lang w:val="pt-PT"/>
        </w:rPr>
      </w:pPr>
    </w:p>
    <w:p w:rsidR="007A17C5" w:rsidRDefault="007A17C5">
      <w:pPr>
        <w:rPr>
          <w:rFonts w:ascii="Times New Roman" w:hAnsi="Times New Roman" w:cs="Times New Roman"/>
          <w:sz w:val="24"/>
          <w:szCs w:val="24"/>
          <w:lang w:val="pt-PT"/>
        </w:rPr>
      </w:pPr>
    </w:p>
    <w:p w:rsidR="007A17C5" w:rsidRDefault="007A17C5">
      <w:pPr>
        <w:rPr>
          <w:rFonts w:ascii="Times New Roman" w:hAnsi="Times New Roman" w:cs="Times New Roman"/>
          <w:sz w:val="24"/>
          <w:szCs w:val="24"/>
          <w:lang w:val="pt-PT"/>
        </w:rPr>
      </w:pPr>
    </w:p>
    <w:p w:rsidR="007A17C5" w:rsidRDefault="007A17C5">
      <w:pPr>
        <w:rPr>
          <w:rFonts w:ascii="Times New Roman" w:hAnsi="Times New Roman" w:cs="Times New Roman"/>
          <w:sz w:val="24"/>
          <w:szCs w:val="24"/>
          <w:lang w:val="pt-PT"/>
        </w:rPr>
      </w:pPr>
    </w:p>
    <w:p w:rsidR="007A17C5" w:rsidRDefault="007A17C5">
      <w:pPr>
        <w:rPr>
          <w:rFonts w:ascii="Times New Roman" w:hAnsi="Times New Roman" w:cs="Times New Roman"/>
          <w:sz w:val="24"/>
          <w:szCs w:val="24"/>
          <w:lang w:val="pt-PT"/>
        </w:rPr>
      </w:pPr>
    </w:p>
    <w:p w:rsidR="007A17C5" w:rsidRDefault="007A17C5">
      <w:pPr>
        <w:rPr>
          <w:rFonts w:ascii="Times New Roman" w:hAnsi="Times New Roman" w:cs="Times New Roman"/>
          <w:sz w:val="24"/>
          <w:szCs w:val="24"/>
          <w:lang w:val="pt-PT"/>
        </w:rPr>
      </w:pPr>
    </w:p>
    <w:p w:rsidR="007A17C5" w:rsidRDefault="007A17C5">
      <w:pPr>
        <w:rPr>
          <w:rFonts w:ascii="Times New Roman" w:hAnsi="Times New Roman" w:cs="Times New Roman"/>
          <w:sz w:val="24"/>
          <w:szCs w:val="24"/>
          <w:lang w:val="pt-PT"/>
        </w:rPr>
      </w:pPr>
    </w:p>
    <w:p w:rsidR="007A17C5" w:rsidRDefault="007A17C5">
      <w:pPr>
        <w:rPr>
          <w:rFonts w:ascii="Times New Roman" w:hAnsi="Times New Roman" w:cs="Times New Roman"/>
          <w:sz w:val="24"/>
          <w:szCs w:val="24"/>
          <w:lang w:val="pt-PT"/>
        </w:rPr>
      </w:pPr>
    </w:p>
    <w:p w:rsidR="007A17C5" w:rsidRDefault="007A17C5">
      <w:pPr>
        <w:rPr>
          <w:rFonts w:ascii="Times New Roman" w:hAnsi="Times New Roman" w:cs="Times New Roman"/>
          <w:sz w:val="24"/>
          <w:szCs w:val="24"/>
          <w:lang w:val="pt-PT"/>
        </w:rPr>
      </w:pPr>
    </w:p>
    <w:p w:rsidR="007A17C5" w:rsidRDefault="007A17C5">
      <w:pPr>
        <w:rPr>
          <w:rFonts w:ascii="Times New Roman" w:hAnsi="Times New Roman" w:cs="Times New Roman"/>
          <w:sz w:val="24"/>
          <w:szCs w:val="24"/>
          <w:lang w:val="pt-PT"/>
        </w:rPr>
      </w:pPr>
    </w:p>
    <w:p w:rsidR="007A17C5" w:rsidRDefault="007A17C5">
      <w:pPr>
        <w:rPr>
          <w:rFonts w:ascii="Times New Roman" w:hAnsi="Times New Roman" w:cs="Times New Roman"/>
          <w:sz w:val="24"/>
          <w:szCs w:val="24"/>
          <w:lang w:val="pt-PT"/>
        </w:rPr>
      </w:pPr>
    </w:p>
    <w:p w:rsidR="007A17C5" w:rsidRDefault="007A17C5">
      <w:pPr>
        <w:rPr>
          <w:rFonts w:ascii="Times New Roman" w:hAnsi="Times New Roman" w:cs="Times New Roman"/>
          <w:sz w:val="24"/>
          <w:szCs w:val="24"/>
          <w:lang w:val="pt-PT"/>
        </w:rPr>
      </w:pPr>
    </w:p>
    <w:p w:rsidR="00F10EFE" w:rsidRDefault="00F10EFE">
      <w:pPr>
        <w:rPr>
          <w:rFonts w:ascii="Times New Roman" w:hAnsi="Times New Roman" w:cs="Times New Roman"/>
          <w:sz w:val="24"/>
          <w:szCs w:val="24"/>
          <w:lang w:val="pt-PT"/>
        </w:rPr>
      </w:pPr>
    </w:p>
    <w:p w:rsidR="00F10EFE" w:rsidRDefault="00F10EFE">
      <w:pPr>
        <w:rPr>
          <w:rFonts w:ascii="Times New Roman" w:hAnsi="Times New Roman" w:cs="Times New Roman"/>
          <w:sz w:val="24"/>
          <w:szCs w:val="24"/>
          <w:lang w:val="pt-PT"/>
        </w:rPr>
      </w:pPr>
    </w:p>
    <w:p w:rsidR="00F10EFE" w:rsidRDefault="00F10EFE">
      <w:pPr>
        <w:rPr>
          <w:rFonts w:ascii="Times New Roman" w:hAnsi="Times New Roman" w:cs="Times New Roman"/>
          <w:sz w:val="24"/>
          <w:szCs w:val="24"/>
          <w:lang w:val="pt-PT"/>
        </w:rPr>
      </w:pPr>
    </w:p>
    <w:p w:rsidR="00F10EFE" w:rsidRDefault="00F10EFE">
      <w:pPr>
        <w:rPr>
          <w:rFonts w:ascii="Times New Roman" w:hAnsi="Times New Roman" w:cs="Times New Roman"/>
          <w:sz w:val="24"/>
          <w:szCs w:val="24"/>
          <w:lang w:val="pt-PT"/>
        </w:rPr>
      </w:pPr>
    </w:p>
    <w:p w:rsidR="00F10EFE" w:rsidRDefault="00F10EFE">
      <w:pPr>
        <w:rPr>
          <w:rFonts w:ascii="Times New Roman" w:hAnsi="Times New Roman" w:cs="Times New Roman"/>
          <w:sz w:val="24"/>
          <w:szCs w:val="24"/>
          <w:lang w:val="pt-PT"/>
        </w:rPr>
      </w:pPr>
    </w:p>
    <w:p w:rsidR="00F10EFE" w:rsidRDefault="00F10EFE">
      <w:pPr>
        <w:rPr>
          <w:rFonts w:ascii="Times New Roman" w:hAnsi="Times New Roman" w:cs="Times New Roman"/>
          <w:sz w:val="24"/>
          <w:szCs w:val="24"/>
          <w:lang w:val="pt-PT"/>
        </w:rPr>
      </w:pPr>
    </w:p>
    <w:p w:rsidR="00F10EFE" w:rsidRDefault="00F10EFE">
      <w:pPr>
        <w:rPr>
          <w:rFonts w:ascii="Times New Roman" w:hAnsi="Times New Roman" w:cs="Times New Roman"/>
          <w:sz w:val="24"/>
          <w:szCs w:val="24"/>
          <w:lang w:val="pt-PT"/>
        </w:rPr>
      </w:pPr>
    </w:p>
    <w:p w:rsidR="00F10EFE" w:rsidRPr="00F10EFE" w:rsidRDefault="00F10EFE">
      <w:pPr>
        <w:rPr>
          <w:rFonts w:ascii="Times New Roman" w:hAnsi="Times New Roman" w:cs="Times New Roman"/>
          <w:sz w:val="24"/>
          <w:szCs w:val="24"/>
          <w:lang w:val="pt-PT"/>
        </w:rPr>
      </w:pPr>
    </w:p>
    <w:p w:rsidR="00F10EFE" w:rsidRPr="00F10EFE" w:rsidRDefault="00F10EFE" w:rsidP="00F10EFE">
      <w:pPr>
        <w:jc w:val="right"/>
        <w:rPr>
          <w:rFonts w:ascii="Times New Roman" w:hAnsi="Times New Roman" w:cs="Times New Roman"/>
          <w:i/>
          <w:sz w:val="24"/>
          <w:szCs w:val="24"/>
          <w:lang w:val="en-US"/>
        </w:rPr>
      </w:pPr>
      <w:r w:rsidRPr="00F10EFE">
        <w:rPr>
          <w:rFonts w:ascii="Times New Roman" w:hAnsi="Times New Roman" w:cs="Times New Roman"/>
          <w:i/>
          <w:sz w:val="24"/>
          <w:szCs w:val="24"/>
          <w:lang w:val="en-US"/>
        </w:rPr>
        <w:t>The most powerful natural species are those that adapt to environmental change without losing their fundamental identity which gives them their competitive advantage.</w:t>
      </w:r>
    </w:p>
    <w:p w:rsidR="00F10EFE" w:rsidRDefault="00F10EFE" w:rsidP="00F10EFE">
      <w:pPr>
        <w:jc w:val="right"/>
        <w:rPr>
          <w:rFonts w:ascii="Times New Roman" w:hAnsi="Times New Roman" w:cs="Times New Roman"/>
          <w:sz w:val="24"/>
          <w:szCs w:val="24"/>
          <w:lang w:val="en-US"/>
        </w:rPr>
      </w:pPr>
    </w:p>
    <w:p w:rsidR="00F10EFE" w:rsidRPr="00756A9D" w:rsidRDefault="00F10EFE" w:rsidP="00F10EFE">
      <w:pPr>
        <w:jc w:val="right"/>
        <w:rPr>
          <w:rFonts w:ascii="Times New Roman" w:hAnsi="Times New Roman" w:cs="Times New Roman"/>
          <w:sz w:val="24"/>
          <w:szCs w:val="24"/>
        </w:rPr>
      </w:pPr>
      <w:r w:rsidRPr="00756A9D">
        <w:rPr>
          <w:rFonts w:ascii="Times New Roman" w:hAnsi="Times New Roman" w:cs="Times New Roman"/>
          <w:sz w:val="24"/>
          <w:szCs w:val="24"/>
        </w:rPr>
        <w:t>Charles Darwin</w:t>
      </w:r>
      <w:r w:rsidRPr="00756A9D">
        <w:rPr>
          <w:rFonts w:ascii="Times New Roman" w:hAnsi="Times New Roman" w:cs="Times New Roman"/>
          <w:sz w:val="24"/>
          <w:szCs w:val="24"/>
        </w:rPr>
        <w:br w:type="page"/>
      </w:r>
    </w:p>
    <w:p w:rsidR="009E75F7" w:rsidRDefault="009E75F7" w:rsidP="00345341">
      <w:pPr>
        <w:spacing w:line="360" w:lineRule="auto"/>
        <w:jc w:val="center"/>
        <w:rPr>
          <w:rFonts w:ascii="Times New Roman" w:hAnsi="Times New Roman" w:cs="Times New Roman"/>
          <w:b/>
          <w:caps/>
          <w:sz w:val="24"/>
          <w:szCs w:val="24"/>
          <w:lang w:val="pt-PT"/>
        </w:rPr>
      </w:pPr>
      <w:r>
        <w:rPr>
          <w:rFonts w:ascii="Times New Roman" w:hAnsi="Times New Roman" w:cs="Times New Roman"/>
          <w:b/>
          <w:caps/>
          <w:sz w:val="24"/>
          <w:szCs w:val="24"/>
          <w:lang w:val="pt-PT"/>
        </w:rPr>
        <w:lastRenderedPageBreak/>
        <w:t>RESUMO</w:t>
      </w:r>
    </w:p>
    <w:p w:rsidR="009E75F7" w:rsidRDefault="009E75F7">
      <w:pPr>
        <w:rPr>
          <w:rFonts w:ascii="Times New Roman" w:hAnsi="Times New Roman" w:cs="Times New Roman"/>
          <w:b/>
          <w:caps/>
          <w:sz w:val="24"/>
          <w:szCs w:val="24"/>
          <w:lang w:val="pt-PT"/>
        </w:rPr>
      </w:pPr>
    </w:p>
    <w:p w:rsidR="00345341" w:rsidRDefault="00345341" w:rsidP="00345341">
      <w:pPr>
        <w:spacing w:line="480" w:lineRule="auto"/>
        <w:rPr>
          <w:rFonts w:ascii="Times New Roman" w:hAnsi="Times New Roman" w:cs="Times New Roman"/>
          <w:b/>
          <w:caps/>
          <w:sz w:val="24"/>
          <w:szCs w:val="24"/>
          <w:lang w:val="pt-PT"/>
        </w:rPr>
      </w:pPr>
    </w:p>
    <w:p w:rsidR="00345341" w:rsidRDefault="00345341" w:rsidP="00345341">
      <w:pPr>
        <w:spacing w:line="480" w:lineRule="auto"/>
        <w:rPr>
          <w:rFonts w:ascii="Times New Roman" w:hAnsi="Times New Roman" w:cs="Times New Roman"/>
          <w:b/>
          <w:caps/>
          <w:sz w:val="24"/>
          <w:szCs w:val="24"/>
          <w:lang w:val="pt-PT"/>
        </w:rPr>
      </w:pPr>
    </w:p>
    <w:p w:rsidR="00345341" w:rsidRPr="00345341" w:rsidRDefault="00085583" w:rsidP="00B92481">
      <w:pPr>
        <w:rPr>
          <w:rFonts w:ascii="Times New Roman" w:hAnsi="Times New Roman" w:cs="Times New Roman"/>
          <w:sz w:val="24"/>
          <w:szCs w:val="24"/>
          <w:lang w:val="pt-PT"/>
        </w:rPr>
      </w:pPr>
      <w:r>
        <w:rPr>
          <w:rFonts w:ascii="Times New Roman" w:hAnsi="Times New Roman" w:cs="Times New Roman"/>
          <w:caps/>
          <w:sz w:val="24"/>
          <w:szCs w:val="24"/>
          <w:lang w:val="pt-PT"/>
        </w:rPr>
        <w:t>SANTOS, I</w:t>
      </w:r>
      <w:r w:rsidR="00345341">
        <w:rPr>
          <w:rFonts w:ascii="Times New Roman" w:hAnsi="Times New Roman" w:cs="Times New Roman"/>
          <w:sz w:val="24"/>
          <w:szCs w:val="24"/>
          <w:lang w:val="pt-PT"/>
        </w:rPr>
        <w:t>n</w:t>
      </w:r>
      <w:r>
        <w:rPr>
          <w:rFonts w:ascii="Times New Roman" w:hAnsi="Times New Roman" w:cs="Times New Roman"/>
          <w:sz w:val="24"/>
          <w:szCs w:val="24"/>
          <w:lang w:val="pt-PT"/>
        </w:rPr>
        <w:t xml:space="preserve">aiê Takaes. </w:t>
      </w:r>
      <w:r w:rsidR="00345341" w:rsidRPr="00085583">
        <w:rPr>
          <w:rFonts w:ascii="Times New Roman" w:hAnsi="Times New Roman" w:cs="Times New Roman"/>
          <w:b/>
          <w:sz w:val="24"/>
          <w:szCs w:val="24"/>
          <w:lang w:val="pt-PT"/>
        </w:rPr>
        <w:t xml:space="preserve">Adaptação regulatória </w:t>
      </w:r>
      <w:r w:rsidRPr="00085583">
        <w:rPr>
          <w:rFonts w:ascii="Times New Roman" w:hAnsi="Times New Roman" w:cs="Times New Roman"/>
          <w:b/>
          <w:sz w:val="24"/>
          <w:szCs w:val="24"/>
          <w:lang w:val="pt-PT"/>
        </w:rPr>
        <w:t>na indústria de biocombustíveis</w:t>
      </w:r>
      <w:r w:rsidR="00345341">
        <w:rPr>
          <w:rFonts w:ascii="Times New Roman" w:hAnsi="Times New Roman" w:cs="Times New Roman"/>
          <w:sz w:val="24"/>
          <w:szCs w:val="24"/>
          <w:lang w:val="pt-PT"/>
        </w:rPr>
        <w:t>. Rio de Janeiro. 2012. Dissertação (Mestrado em Economia) – Instituto de Economia, Universidade Federal do Rio de Janeiro, Rio de Janeiro, 2012.</w:t>
      </w:r>
    </w:p>
    <w:p w:rsidR="00345341" w:rsidRDefault="00345341">
      <w:pPr>
        <w:rPr>
          <w:rFonts w:ascii="Times New Roman" w:hAnsi="Times New Roman" w:cs="Times New Roman"/>
          <w:sz w:val="24"/>
          <w:szCs w:val="24"/>
          <w:lang w:val="pt-PT"/>
        </w:rPr>
      </w:pPr>
    </w:p>
    <w:p w:rsidR="00345341" w:rsidRDefault="00345341">
      <w:pPr>
        <w:rPr>
          <w:rFonts w:ascii="Times New Roman" w:hAnsi="Times New Roman" w:cs="Times New Roman"/>
          <w:sz w:val="24"/>
          <w:szCs w:val="24"/>
          <w:lang w:val="pt-PT"/>
        </w:rPr>
      </w:pPr>
    </w:p>
    <w:p w:rsidR="00345341" w:rsidRDefault="00345341">
      <w:pPr>
        <w:rPr>
          <w:rFonts w:ascii="Times New Roman" w:hAnsi="Times New Roman" w:cs="Times New Roman"/>
          <w:sz w:val="24"/>
          <w:szCs w:val="24"/>
          <w:lang w:val="pt-PT"/>
        </w:rPr>
      </w:pPr>
    </w:p>
    <w:p w:rsidR="00345341" w:rsidRDefault="00345341">
      <w:pPr>
        <w:rPr>
          <w:rFonts w:ascii="Times New Roman" w:hAnsi="Times New Roman" w:cs="Times New Roman"/>
          <w:sz w:val="24"/>
          <w:szCs w:val="24"/>
          <w:lang w:val="pt-PT"/>
        </w:rPr>
      </w:pPr>
    </w:p>
    <w:p w:rsidR="005861D4" w:rsidRPr="005861D4" w:rsidRDefault="004876F1" w:rsidP="005003DB">
      <w:pPr>
        <w:spacing w:line="360" w:lineRule="auto"/>
        <w:rPr>
          <w:rFonts w:ascii="Times New Roman" w:hAnsi="Times New Roman" w:cs="Times New Roman"/>
          <w:sz w:val="24"/>
          <w:szCs w:val="24"/>
        </w:rPr>
      </w:pPr>
      <w:r>
        <w:rPr>
          <w:rFonts w:ascii="Times New Roman" w:hAnsi="Times New Roman" w:cs="Times New Roman"/>
          <w:sz w:val="24"/>
          <w:szCs w:val="24"/>
          <w:lang w:val="pt-PT"/>
        </w:rPr>
        <w:t xml:space="preserve">A dissertação </w:t>
      </w:r>
      <w:r w:rsidR="000B22D2">
        <w:rPr>
          <w:rFonts w:ascii="Times New Roman" w:hAnsi="Times New Roman" w:cs="Times New Roman"/>
          <w:sz w:val="24"/>
          <w:szCs w:val="24"/>
          <w:lang w:val="pt-PT"/>
        </w:rPr>
        <w:t xml:space="preserve">trata da necessidade de </w:t>
      </w:r>
      <w:r w:rsidR="000B22D2" w:rsidRPr="005003DB">
        <w:rPr>
          <w:rFonts w:ascii="Times New Roman" w:hAnsi="Times New Roman" w:cs="Times New Roman"/>
          <w:sz w:val="24"/>
          <w:szCs w:val="24"/>
          <w:lang w:val="pt-PT"/>
        </w:rPr>
        <w:t>adaptação na regulação econômica</w:t>
      </w:r>
      <w:r w:rsidR="000B22D2">
        <w:rPr>
          <w:rFonts w:ascii="Times New Roman" w:hAnsi="Times New Roman" w:cs="Times New Roman"/>
          <w:sz w:val="24"/>
          <w:szCs w:val="24"/>
          <w:lang w:val="pt-PT"/>
        </w:rPr>
        <w:t xml:space="preserve">, que decorre tanto de mudanças nas políticas públicas, como de transformações na estrutura da indústria regulada, particularmente aquelas decorrentes de inovações tecnológicas. </w:t>
      </w:r>
      <w:r w:rsidR="0061490F">
        <w:rPr>
          <w:rFonts w:ascii="Times New Roman" w:hAnsi="Times New Roman" w:cs="Times New Roman"/>
          <w:sz w:val="24"/>
          <w:szCs w:val="24"/>
          <w:lang w:val="pt-PT"/>
        </w:rPr>
        <w:t>Desse modo</w:t>
      </w:r>
      <w:r w:rsidR="000B22D2">
        <w:rPr>
          <w:rFonts w:ascii="Times New Roman" w:hAnsi="Times New Roman" w:cs="Times New Roman"/>
          <w:sz w:val="24"/>
          <w:szCs w:val="24"/>
          <w:lang w:val="pt-PT"/>
        </w:rPr>
        <w:t xml:space="preserve">, o trabalho </w:t>
      </w:r>
      <w:r w:rsidR="00E02E73" w:rsidRPr="0052118E">
        <w:rPr>
          <w:rFonts w:ascii="Times New Roman" w:hAnsi="Times New Roman" w:cs="Times New Roman"/>
          <w:sz w:val="24"/>
          <w:szCs w:val="24"/>
          <w:lang w:val="pt-PT"/>
        </w:rPr>
        <w:t>explora os vínculos existentes entre a atividade regulatória, as demais pol</w:t>
      </w:r>
      <w:r w:rsidR="005861D4">
        <w:rPr>
          <w:rFonts w:ascii="Times New Roman" w:hAnsi="Times New Roman" w:cs="Times New Roman"/>
          <w:sz w:val="24"/>
          <w:szCs w:val="24"/>
          <w:lang w:val="pt-PT"/>
        </w:rPr>
        <w:t>íticas setoriais e a dinâmica de inovação</w:t>
      </w:r>
      <w:r w:rsidR="00E02E73" w:rsidRPr="0052118E">
        <w:rPr>
          <w:rFonts w:ascii="Times New Roman" w:hAnsi="Times New Roman" w:cs="Times New Roman"/>
          <w:sz w:val="24"/>
          <w:szCs w:val="24"/>
          <w:lang w:val="pt-PT"/>
        </w:rPr>
        <w:t xml:space="preserve"> que regem a trajetória da indústria de biocombustíveis</w:t>
      </w:r>
      <w:r w:rsidR="0061490F">
        <w:rPr>
          <w:rFonts w:ascii="Times New Roman" w:hAnsi="Times New Roman" w:cs="Times New Roman"/>
          <w:sz w:val="24"/>
          <w:szCs w:val="24"/>
          <w:lang w:val="pt-PT"/>
        </w:rPr>
        <w:t xml:space="preserve">, elucidando </w:t>
      </w:r>
      <w:r>
        <w:rPr>
          <w:rFonts w:ascii="Times New Roman" w:hAnsi="Times New Roman" w:cs="Times New Roman"/>
          <w:sz w:val="24"/>
          <w:szCs w:val="24"/>
          <w:lang w:val="pt-PT"/>
        </w:rPr>
        <w:t>aspectos relevantes na dinâmica coevolutiva da regulação e das tecnologias empregadas</w:t>
      </w:r>
      <w:r w:rsidR="0061490F">
        <w:rPr>
          <w:rFonts w:ascii="Times New Roman" w:hAnsi="Times New Roman" w:cs="Times New Roman"/>
          <w:sz w:val="24"/>
          <w:szCs w:val="24"/>
          <w:lang w:val="pt-PT"/>
        </w:rPr>
        <w:t xml:space="preserve"> na produção de biocombustíveis</w:t>
      </w:r>
      <w:r w:rsidR="009E75F7">
        <w:rPr>
          <w:rFonts w:ascii="Times New Roman" w:hAnsi="Times New Roman" w:cs="Times New Roman"/>
          <w:sz w:val="24"/>
          <w:szCs w:val="24"/>
          <w:lang w:val="pt-PT"/>
        </w:rPr>
        <w:t xml:space="preserve">. </w:t>
      </w:r>
      <w:r w:rsidR="0061490F">
        <w:rPr>
          <w:rFonts w:ascii="Times New Roman" w:hAnsi="Times New Roman" w:cs="Times New Roman"/>
          <w:sz w:val="24"/>
          <w:szCs w:val="24"/>
          <w:lang w:val="pt-PT"/>
        </w:rPr>
        <w:t>Apresentam-se</w:t>
      </w:r>
      <w:r w:rsidR="002F6889">
        <w:rPr>
          <w:rFonts w:ascii="Times New Roman" w:hAnsi="Times New Roman" w:cs="Times New Roman"/>
          <w:sz w:val="24"/>
          <w:szCs w:val="24"/>
          <w:lang w:val="pt-PT"/>
        </w:rPr>
        <w:t xml:space="preserve"> as principais</w:t>
      </w:r>
      <w:r w:rsidRPr="0052118E">
        <w:rPr>
          <w:rFonts w:ascii="Times New Roman" w:hAnsi="Times New Roman" w:cs="Times New Roman"/>
          <w:sz w:val="24"/>
          <w:szCs w:val="24"/>
          <w:lang w:val="pt-PT"/>
        </w:rPr>
        <w:t xml:space="preserve"> ações governamentais que restringem e incentivam a produção e o consumo</w:t>
      </w:r>
      <w:r w:rsidR="002F6889">
        <w:rPr>
          <w:rFonts w:ascii="Times New Roman" w:hAnsi="Times New Roman" w:cs="Times New Roman"/>
          <w:sz w:val="24"/>
          <w:szCs w:val="24"/>
          <w:lang w:val="pt-PT"/>
        </w:rPr>
        <w:t xml:space="preserve"> de biocombustíveis no país, além da</w:t>
      </w:r>
      <w:r w:rsidRPr="0052118E">
        <w:rPr>
          <w:rFonts w:ascii="Times New Roman" w:hAnsi="Times New Roman" w:cs="Times New Roman"/>
          <w:sz w:val="24"/>
          <w:szCs w:val="24"/>
          <w:lang w:val="pt-PT"/>
        </w:rPr>
        <w:t xml:space="preserve"> análise de </w:t>
      </w:r>
      <w:r w:rsidR="002F6889">
        <w:rPr>
          <w:rFonts w:ascii="Times New Roman" w:hAnsi="Times New Roman" w:cs="Times New Roman"/>
          <w:sz w:val="24"/>
          <w:szCs w:val="24"/>
          <w:lang w:val="pt-PT"/>
        </w:rPr>
        <w:t xml:space="preserve">seus </w:t>
      </w:r>
      <w:r w:rsidRPr="0052118E">
        <w:rPr>
          <w:rFonts w:ascii="Times New Roman" w:hAnsi="Times New Roman" w:cs="Times New Roman"/>
          <w:sz w:val="24"/>
          <w:szCs w:val="24"/>
          <w:lang w:val="pt-PT"/>
        </w:rPr>
        <w:t>efeitos sobre</w:t>
      </w:r>
      <w:r w:rsidR="00E02E73">
        <w:rPr>
          <w:rFonts w:ascii="Times New Roman" w:hAnsi="Times New Roman" w:cs="Times New Roman"/>
          <w:sz w:val="24"/>
          <w:szCs w:val="24"/>
          <w:lang w:val="pt-PT"/>
        </w:rPr>
        <w:t xml:space="preserve"> a estrutura da indústria. </w:t>
      </w:r>
      <w:r w:rsidR="00E02E73">
        <w:rPr>
          <w:rFonts w:ascii="Times New Roman" w:hAnsi="Times New Roman" w:cs="Times New Roman"/>
          <w:sz w:val="24"/>
          <w:szCs w:val="24"/>
        </w:rPr>
        <w:t>A adaptação regul</w:t>
      </w:r>
      <w:r w:rsidR="008C79B9">
        <w:rPr>
          <w:rFonts w:ascii="Times New Roman" w:hAnsi="Times New Roman" w:cs="Times New Roman"/>
          <w:sz w:val="24"/>
          <w:szCs w:val="24"/>
        </w:rPr>
        <w:t>atória é considerada assim</w:t>
      </w:r>
      <w:r w:rsidR="00E02E73">
        <w:rPr>
          <w:rFonts w:ascii="Times New Roman" w:hAnsi="Times New Roman" w:cs="Times New Roman"/>
          <w:sz w:val="24"/>
          <w:szCs w:val="24"/>
        </w:rPr>
        <w:t xml:space="preserve"> uma capacitação fundamental para a promoção do desenvolvimento tecnológico nas indústrias reguladas</w:t>
      </w:r>
      <w:r w:rsidR="008C79B9">
        <w:rPr>
          <w:rFonts w:ascii="Times New Roman" w:hAnsi="Times New Roman" w:cs="Times New Roman"/>
          <w:sz w:val="24"/>
          <w:szCs w:val="24"/>
        </w:rPr>
        <w:t xml:space="preserve"> e coordenação da intervenção governamental</w:t>
      </w:r>
      <w:r w:rsidR="00E02E73">
        <w:rPr>
          <w:rFonts w:ascii="Times New Roman" w:hAnsi="Times New Roman" w:cs="Times New Roman"/>
          <w:sz w:val="24"/>
          <w:szCs w:val="24"/>
        </w:rPr>
        <w:t xml:space="preserve">. </w:t>
      </w:r>
      <w:r w:rsidR="008C79B9">
        <w:rPr>
          <w:rFonts w:ascii="Times New Roman" w:hAnsi="Times New Roman" w:cs="Times New Roman"/>
          <w:sz w:val="24"/>
          <w:szCs w:val="24"/>
        </w:rPr>
        <w:t>A pesquisa apresenta dois casos,</w:t>
      </w:r>
      <w:r w:rsidR="00CD5868">
        <w:rPr>
          <w:rFonts w:ascii="Times New Roman" w:hAnsi="Times New Roman" w:cs="Times New Roman"/>
          <w:sz w:val="24"/>
          <w:szCs w:val="24"/>
        </w:rPr>
        <w:t xml:space="preserve"> um no Brasil e outr</w:t>
      </w:r>
      <w:r w:rsidR="00E02E73">
        <w:rPr>
          <w:rFonts w:ascii="Times New Roman" w:hAnsi="Times New Roman" w:cs="Times New Roman"/>
          <w:sz w:val="24"/>
          <w:szCs w:val="24"/>
        </w:rPr>
        <w:t>o nos Estados Unidos, identificando a existência de</w:t>
      </w:r>
      <w:r w:rsidR="008C79B9">
        <w:rPr>
          <w:rFonts w:ascii="Times New Roman" w:hAnsi="Times New Roman" w:cs="Times New Roman"/>
          <w:sz w:val="24"/>
          <w:szCs w:val="24"/>
        </w:rPr>
        <w:t xml:space="preserve"> instrumentos</w:t>
      </w:r>
      <w:r w:rsidR="00CD5868">
        <w:rPr>
          <w:rFonts w:ascii="Times New Roman" w:hAnsi="Times New Roman" w:cs="Times New Roman"/>
          <w:sz w:val="24"/>
          <w:szCs w:val="24"/>
        </w:rPr>
        <w:t xml:space="preserve"> </w:t>
      </w:r>
      <w:r w:rsidR="00E02E73">
        <w:rPr>
          <w:rFonts w:ascii="Times New Roman" w:hAnsi="Times New Roman" w:cs="Times New Roman"/>
          <w:sz w:val="24"/>
          <w:szCs w:val="24"/>
        </w:rPr>
        <w:t>mais flexíveis n</w:t>
      </w:r>
      <w:r w:rsidR="0061490F">
        <w:rPr>
          <w:rFonts w:ascii="Times New Roman" w:hAnsi="Times New Roman" w:cs="Times New Roman"/>
          <w:sz w:val="24"/>
          <w:szCs w:val="24"/>
        </w:rPr>
        <w:t>o segundo caso</w:t>
      </w:r>
      <w:r w:rsidR="00E02E73">
        <w:rPr>
          <w:rFonts w:ascii="Times New Roman" w:hAnsi="Times New Roman" w:cs="Times New Roman"/>
          <w:sz w:val="24"/>
          <w:szCs w:val="24"/>
        </w:rPr>
        <w:t xml:space="preserve">, apesar de </w:t>
      </w:r>
      <w:r w:rsidR="00CD5868">
        <w:rPr>
          <w:rFonts w:ascii="Times New Roman" w:hAnsi="Times New Roman" w:cs="Times New Roman"/>
          <w:sz w:val="24"/>
          <w:szCs w:val="24"/>
        </w:rPr>
        <w:t>a introdução de no</w:t>
      </w:r>
      <w:r w:rsidR="00E02E73">
        <w:rPr>
          <w:rFonts w:ascii="Times New Roman" w:hAnsi="Times New Roman" w:cs="Times New Roman"/>
          <w:sz w:val="24"/>
          <w:szCs w:val="24"/>
        </w:rPr>
        <w:t>vos biocombustíveis estar sujeita a</w:t>
      </w:r>
      <w:r w:rsidR="00CD5868">
        <w:rPr>
          <w:rFonts w:ascii="Times New Roman" w:hAnsi="Times New Roman" w:cs="Times New Roman"/>
          <w:sz w:val="24"/>
          <w:szCs w:val="24"/>
        </w:rPr>
        <w:t xml:space="preserve"> </w:t>
      </w:r>
      <w:r w:rsidR="00DF4348">
        <w:rPr>
          <w:rFonts w:ascii="Times New Roman" w:hAnsi="Times New Roman" w:cs="Times New Roman"/>
          <w:sz w:val="24"/>
          <w:szCs w:val="24"/>
        </w:rPr>
        <w:t>mecanismos de controle</w:t>
      </w:r>
      <w:r w:rsidR="00731C87">
        <w:rPr>
          <w:rFonts w:ascii="Times New Roman" w:hAnsi="Times New Roman" w:cs="Times New Roman"/>
          <w:sz w:val="24"/>
          <w:szCs w:val="24"/>
        </w:rPr>
        <w:t xml:space="preserve"> e transparência</w:t>
      </w:r>
      <w:r w:rsidR="008C79B9">
        <w:rPr>
          <w:rFonts w:ascii="Times New Roman" w:hAnsi="Times New Roman" w:cs="Times New Roman"/>
          <w:sz w:val="24"/>
          <w:szCs w:val="24"/>
        </w:rPr>
        <w:t xml:space="preserve"> </w:t>
      </w:r>
      <w:r w:rsidR="00CD5868">
        <w:rPr>
          <w:rFonts w:ascii="Times New Roman" w:hAnsi="Times New Roman" w:cs="Times New Roman"/>
          <w:sz w:val="24"/>
          <w:szCs w:val="24"/>
        </w:rPr>
        <w:t xml:space="preserve">similares aos adotados pela regulação no Brasil. </w:t>
      </w:r>
      <w:r w:rsidR="00506188">
        <w:rPr>
          <w:rFonts w:ascii="Times New Roman" w:hAnsi="Times New Roman" w:cs="Times New Roman"/>
          <w:sz w:val="24"/>
          <w:szCs w:val="24"/>
          <w:lang w:val="pt-PT"/>
        </w:rPr>
        <w:t>Os casos mostram</w:t>
      </w:r>
      <w:r w:rsidR="005861D4">
        <w:rPr>
          <w:rFonts w:ascii="Times New Roman" w:hAnsi="Times New Roman" w:cs="Times New Roman"/>
          <w:sz w:val="24"/>
          <w:szCs w:val="24"/>
          <w:lang w:val="pt-PT"/>
        </w:rPr>
        <w:t xml:space="preserve"> que</w:t>
      </w:r>
      <w:r w:rsidR="00506188">
        <w:rPr>
          <w:rFonts w:ascii="Times New Roman" w:hAnsi="Times New Roman" w:cs="Times New Roman"/>
          <w:sz w:val="24"/>
          <w:szCs w:val="24"/>
          <w:lang w:val="pt-PT"/>
        </w:rPr>
        <w:t>, no Brasil,</w:t>
      </w:r>
      <w:r w:rsidR="008C79B9">
        <w:rPr>
          <w:rFonts w:ascii="Times New Roman" w:hAnsi="Times New Roman" w:cs="Times New Roman"/>
          <w:sz w:val="24"/>
          <w:szCs w:val="24"/>
        </w:rPr>
        <w:t xml:space="preserve"> </w:t>
      </w:r>
      <w:r w:rsidR="005861D4">
        <w:rPr>
          <w:rFonts w:ascii="Times New Roman" w:hAnsi="Times New Roman" w:cs="Times New Roman"/>
          <w:sz w:val="24"/>
          <w:szCs w:val="24"/>
        </w:rPr>
        <w:t xml:space="preserve">a regulação acompanha mudanças pela introdução de novas tecnologias na indústria em ritmo mais lento </w:t>
      </w:r>
      <w:r w:rsidR="00506188">
        <w:rPr>
          <w:rFonts w:ascii="Times New Roman" w:hAnsi="Times New Roman" w:cs="Times New Roman"/>
          <w:sz w:val="24"/>
          <w:szCs w:val="24"/>
        </w:rPr>
        <w:t>e que a maior complexidade de seu</w:t>
      </w:r>
      <w:r w:rsidR="0063623B">
        <w:rPr>
          <w:rFonts w:ascii="Times New Roman" w:hAnsi="Times New Roman" w:cs="Times New Roman"/>
          <w:sz w:val="24"/>
          <w:szCs w:val="24"/>
        </w:rPr>
        <w:t xml:space="preserve"> </w:t>
      </w:r>
      <w:r w:rsidR="00506188">
        <w:rPr>
          <w:rFonts w:ascii="Times New Roman" w:hAnsi="Times New Roman" w:cs="Times New Roman"/>
          <w:sz w:val="24"/>
          <w:szCs w:val="24"/>
        </w:rPr>
        <w:t>desenho institucional</w:t>
      </w:r>
      <w:r w:rsidR="0063623B">
        <w:rPr>
          <w:rFonts w:ascii="Times New Roman" w:hAnsi="Times New Roman" w:cs="Times New Roman"/>
          <w:sz w:val="24"/>
          <w:szCs w:val="24"/>
        </w:rPr>
        <w:t xml:space="preserve"> se mostra m</w:t>
      </w:r>
      <w:r w:rsidR="00506188">
        <w:rPr>
          <w:rFonts w:ascii="Times New Roman" w:hAnsi="Times New Roman" w:cs="Times New Roman"/>
          <w:sz w:val="24"/>
          <w:szCs w:val="24"/>
        </w:rPr>
        <w:t>enos favorável à coordenação da atividade regulatória com os</w:t>
      </w:r>
      <w:r w:rsidR="0063623B">
        <w:rPr>
          <w:rFonts w:ascii="Times New Roman" w:hAnsi="Times New Roman" w:cs="Times New Roman"/>
          <w:sz w:val="24"/>
          <w:szCs w:val="24"/>
        </w:rPr>
        <w:t xml:space="preserve"> objetivos de políticas públicas</w:t>
      </w:r>
      <w:r w:rsidR="00506188">
        <w:rPr>
          <w:rFonts w:ascii="Times New Roman" w:hAnsi="Times New Roman" w:cs="Times New Roman"/>
          <w:sz w:val="24"/>
          <w:szCs w:val="24"/>
        </w:rPr>
        <w:t xml:space="preserve"> do que nos Estados Unidos</w:t>
      </w:r>
      <w:r w:rsidR="0063623B">
        <w:rPr>
          <w:rFonts w:ascii="Times New Roman" w:hAnsi="Times New Roman" w:cs="Times New Roman"/>
          <w:sz w:val="24"/>
          <w:szCs w:val="24"/>
        </w:rPr>
        <w:t>.</w:t>
      </w:r>
    </w:p>
    <w:p w:rsidR="004876F1" w:rsidRDefault="00F40B1A">
      <w:pPr>
        <w:rPr>
          <w:rFonts w:ascii="Times New Roman" w:hAnsi="Times New Roman" w:cs="Times New Roman"/>
          <w:sz w:val="24"/>
          <w:szCs w:val="24"/>
          <w:lang w:val="pt-PT"/>
        </w:rPr>
      </w:pPr>
      <w:r>
        <w:rPr>
          <w:rFonts w:ascii="Times New Roman" w:hAnsi="Times New Roman" w:cs="Times New Roman"/>
          <w:sz w:val="24"/>
          <w:szCs w:val="24"/>
          <w:lang w:val="pt-PT"/>
        </w:rPr>
        <w:t>Palavras-chave: Regulação. Inovação. Biocombustíveis.</w:t>
      </w:r>
    </w:p>
    <w:p w:rsidR="00085583" w:rsidRDefault="00085583">
      <w:pPr>
        <w:rPr>
          <w:rFonts w:ascii="Times New Roman" w:hAnsi="Times New Roman" w:cs="Times New Roman"/>
          <w:b/>
          <w:caps/>
          <w:sz w:val="24"/>
          <w:szCs w:val="24"/>
          <w:lang w:val="pt-PT"/>
        </w:rPr>
      </w:pPr>
      <w:r>
        <w:rPr>
          <w:rFonts w:ascii="Times New Roman" w:hAnsi="Times New Roman" w:cs="Times New Roman"/>
          <w:b/>
          <w:caps/>
          <w:sz w:val="24"/>
          <w:szCs w:val="24"/>
          <w:lang w:val="pt-PT"/>
        </w:rPr>
        <w:br w:type="page"/>
      </w:r>
    </w:p>
    <w:p w:rsidR="00085583" w:rsidRDefault="00085583" w:rsidP="00085583">
      <w:pPr>
        <w:spacing w:line="360" w:lineRule="auto"/>
        <w:jc w:val="center"/>
        <w:rPr>
          <w:rFonts w:ascii="Times New Roman" w:hAnsi="Times New Roman" w:cs="Times New Roman"/>
          <w:b/>
          <w:caps/>
          <w:sz w:val="24"/>
          <w:szCs w:val="24"/>
          <w:lang w:val="pt-PT"/>
        </w:rPr>
      </w:pPr>
      <w:r>
        <w:rPr>
          <w:rFonts w:ascii="Times New Roman" w:hAnsi="Times New Roman" w:cs="Times New Roman"/>
          <w:b/>
          <w:caps/>
          <w:sz w:val="24"/>
          <w:szCs w:val="24"/>
          <w:lang w:val="pt-PT"/>
        </w:rPr>
        <w:lastRenderedPageBreak/>
        <w:t>abstract</w:t>
      </w:r>
    </w:p>
    <w:p w:rsidR="00085583" w:rsidRDefault="00085583" w:rsidP="00085583">
      <w:pPr>
        <w:rPr>
          <w:rFonts w:ascii="Times New Roman" w:hAnsi="Times New Roman" w:cs="Times New Roman"/>
          <w:b/>
          <w:caps/>
          <w:sz w:val="24"/>
          <w:szCs w:val="24"/>
          <w:lang w:val="pt-PT"/>
        </w:rPr>
      </w:pPr>
    </w:p>
    <w:p w:rsidR="00085583" w:rsidRDefault="00085583" w:rsidP="00085583">
      <w:pPr>
        <w:spacing w:line="480" w:lineRule="auto"/>
        <w:rPr>
          <w:rFonts w:ascii="Times New Roman" w:hAnsi="Times New Roman" w:cs="Times New Roman"/>
          <w:b/>
          <w:caps/>
          <w:sz w:val="24"/>
          <w:szCs w:val="24"/>
          <w:lang w:val="pt-PT"/>
        </w:rPr>
      </w:pPr>
    </w:p>
    <w:p w:rsidR="00085583" w:rsidRDefault="00085583" w:rsidP="00085583">
      <w:pPr>
        <w:spacing w:line="480" w:lineRule="auto"/>
        <w:rPr>
          <w:rFonts w:ascii="Times New Roman" w:hAnsi="Times New Roman" w:cs="Times New Roman"/>
          <w:b/>
          <w:caps/>
          <w:sz w:val="24"/>
          <w:szCs w:val="24"/>
          <w:lang w:val="pt-PT"/>
        </w:rPr>
      </w:pPr>
    </w:p>
    <w:p w:rsidR="00085583" w:rsidRPr="00345341" w:rsidRDefault="00E4449E" w:rsidP="00E4449E">
      <w:pPr>
        <w:rPr>
          <w:rFonts w:ascii="Times New Roman" w:hAnsi="Times New Roman" w:cs="Times New Roman"/>
          <w:sz w:val="24"/>
          <w:szCs w:val="24"/>
          <w:lang w:val="pt-PT"/>
        </w:rPr>
      </w:pPr>
      <w:r>
        <w:rPr>
          <w:rFonts w:ascii="Times New Roman" w:hAnsi="Times New Roman" w:cs="Times New Roman"/>
          <w:caps/>
          <w:sz w:val="24"/>
          <w:szCs w:val="24"/>
          <w:lang w:val="pt-PT"/>
        </w:rPr>
        <w:t xml:space="preserve">SANTOS, </w:t>
      </w:r>
      <w:r w:rsidR="00085583" w:rsidRPr="00E4449E">
        <w:rPr>
          <w:rFonts w:ascii="Times New Roman" w:hAnsi="Times New Roman" w:cs="Times New Roman"/>
          <w:caps/>
          <w:sz w:val="24"/>
          <w:szCs w:val="24"/>
          <w:lang w:val="pt-PT"/>
        </w:rPr>
        <w:t>I</w:t>
      </w:r>
      <w:r>
        <w:rPr>
          <w:rFonts w:ascii="Times New Roman" w:hAnsi="Times New Roman" w:cs="Times New Roman"/>
          <w:sz w:val="24"/>
          <w:szCs w:val="24"/>
          <w:lang w:val="pt-PT"/>
        </w:rPr>
        <w:t xml:space="preserve">naiê Takaes. </w:t>
      </w:r>
      <w:r w:rsidR="00085583" w:rsidRPr="00E4449E">
        <w:rPr>
          <w:rFonts w:ascii="Times New Roman" w:hAnsi="Times New Roman" w:cs="Times New Roman"/>
          <w:b/>
          <w:sz w:val="24"/>
          <w:szCs w:val="24"/>
          <w:lang w:val="pt-PT"/>
        </w:rPr>
        <w:t xml:space="preserve">Adaptação regulatória </w:t>
      </w:r>
      <w:r w:rsidRPr="00E4449E">
        <w:rPr>
          <w:rFonts w:ascii="Times New Roman" w:hAnsi="Times New Roman" w:cs="Times New Roman"/>
          <w:b/>
          <w:sz w:val="24"/>
          <w:szCs w:val="24"/>
          <w:lang w:val="pt-PT"/>
        </w:rPr>
        <w:t>na indústria de biocombustíveis</w:t>
      </w:r>
      <w:r w:rsidR="00085583">
        <w:rPr>
          <w:rFonts w:ascii="Times New Roman" w:hAnsi="Times New Roman" w:cs="Times New Roman"/>
          <w:sz w:val="24"/>
          <w:szCs w:val="24"/>
          <w:lang w:val="pt-PT"/>
        </w:rPr>
        <w:t>. Rio de Janeiro. 2012. Dissertação (Mestrado em Economia) – Instituto de Economia, Universidade Federal do Rio de Janeiro, Rio de Janeiro, 2012.</w:t>
      </w:r>
    </w:p>
    <w:p w:rsidR="00085583" w:rsidRDefault="00085583" w:rsidP="00085583">
      <w:pPr>
        <w:rPr>
          <w:rFonts w:ascii="Times New Roman" w:hAnsi="Times New Roman" w:cs="Times New Roman"/>
          <w:sz w:val="24"/>
          <w:szCs w:val="24"/>
          <w:lang w:val="pt-PT"/>
        </w:rPr>
      </w:pPr>
    </w:p>
    <w:p w:rsidR="00085583" w:rsidRDefault="00085583" w:rsidP="00085583">
      <w:pPr>
        <w:rPr>
          <w:rFonts w:ascii="Times New Roman" w:hAnsi="Times New Roman" w:cs="Times New Roman"/>
          <w:sz w:val="24"/>
          <w:szCs w:val="24"/>
          <w:lang w:val="pt-PT"/>
        </w:rPr>
      </w:pPr>
    </w:p>
    <w:p w:rsidR="00085583" w:rsidRDefault="00085583" w:rsidP="00085583">
      <w:pPr>
        <w:rPr>
          <w:rFonts w:ascii="Times New Roman" w:hAnsi="Times New Roman" w:cs="Times New Roman"/>
          <w:sz w:val="24"/>
          <w:szCs w:val="24"/>
          <w:lang w:val="pt-PT"/>
        </w:rPr>
      </w:pPr>
    </w:p>
    <w:p w:rsidR="00085583" w:rsidRDefault="00085583" w:rsidP="00085583">
      <w:pPr>
        <w:rPr>
          <w:rFonts w:ascii="Times New Roman" w:hAnsi="Times New Roman" w:cs="Times New Roman"/>
          <w:sz w:val="24"/>
          <w:szCs w:val="24"/>
          <w:lang w:val="pt-PT"/>
        </w:rPr>
      </w:pPr>
    </w:p>
    <w:p w:rsidR="00085583" w:rsidRDefault="00B92481" w:rsidP="00F40B1A">
      <w:pPr>
        <w:spacing w:line="360" w:lineRule="auto"/>
        <w:ind w:firstLine="1134"/>
        <w:rPr>
          <w:rFonts w:ascii="Times New Roman" w:hAnsi="Times New Roman" w:cs="Times New Roman"/>
          <w:sz w:val="24"/>
          <w:szCs w:val="24"/>
          <w:lang w:val="en-US"/>
        </w:rPr>
      </w:pPr>
      <w:r w:rsidRPr="00B92481">
        <w:rPr>
          <w:rFonts w:ascii="Times New Roman" w:hAnsi="Times New Roman" w:cs="Times New Roman"/>
          <w:sz w:val="24"/>
          <w:szCs w:val="24"/>
          <w:lang w:val="en-US"/>
        </w:rPr>
        <w:t>The dissertation addresses the need for adaptation in economic regulation,</w:t>
      </w:r>
      <w:r w:rsidR="001407D9">
        <w:rPr>
          <w:rFonts w:ascii="Times New Roman" w:hAnsi="Times New Roman" w:cs="Times New Roman"/>
          <w:sz w:val="24"/>
          <w:szCs w:val="24"/>
          <w:lang w:val="en-US"/>
        </w:rPr>
        <w:t xml:space="preserve"> which derives both from shifts</w:t>
      </w:r>
      <w:r w:rsidRPr="00B92481">
        <w:rPr>
          <w:rFonts w:ascii="Times New Roman" w:hAnsi="Times New Roman" w:cs="Times New Roman"/>
          <w:sz w:val="24"/>
          <w:szCs w:val="24"/>
          <w:lang w:val="en-US"/>
        </w:rPr>
        <w:t xml:space="preserve"> in public policies, as </w:t>
      </w:r>
      <w:r w:rsidR="001407D9">
        <w:rPr>
          <w:rFonts w:ascii="Times New Roman" w:hAnsi="Times New Roman" w:cs="Times New Roman"/>
          <w:sz w:val="24"/>
          <w:szCs w:val="24"/>
          <w:lang w:val="en-US"/>
        </w:rPr>
        <w:t xml:space="preserve">well as from </w:t>
      </w:r>
      <w:r w:rsidRPr="00B92481">
        <w:rPr>
          <w:rFonts w:ascii="Times New Roman" w:hAnsi="Times New Roman" w:cs="Times New Roman"/>
          <w:sz w:val="24"/>
          <w:szCs w:val="24"/>
          <w:lang w:val="en-US"/>
        </w:rPr>
        <w:t xml:space="preserve">changes in the structure of the regulated industry, particularly those </w:t>
      </w:r>
      <w:r w:rsidR="001407D9">
        <w:rPr>
          <w:rFonts w:ascii="Times New Roman" w:hAnsi="Times New Roman" w:cs="Times New Roman"/>
          <w:sz w:val="24"/>
          <w:szCs w:val="24"/>
          <w:lang w:val="en-US"/>
        </w:rPr>
        <w:t>related to technological innovation. The research explores the relationship between</w:t>
      </w:r>
      <w:r w:rsidRPr="00B92481">
        <w:rPr>
          <w:rFonts w:ascii="Times New Roman" w:hAnsi="Times New Roman" w:cs="Times New Roman"/>
          <w:sz w:val="24"/>
          <w:szCs w:val="24"/>
          <w:lang w:val="en-US"/>
        </w:rPr>
        <w:t xml:space="preserve"> reg</w:t>
      </w:r>
      <w:r w:rsidR="001407D9">
        <w:rPr>
          <w:rFonts w:ascii="Times New Roman" w:hAnsi="Times New Roman" w:cs="Times New Roman"/>
          <w:sz w:val="24"/>
          <w:szCs w:val="24"/>
          <w:lang w:val="en-US"/>
        </w:rPr>
        <w:t>ulatory activity, public</w:t>
      </w:r>
      <w:r w:rsidR="005861D4">
        <w:rPr>
          <w:rFonts w:ascii="Times New Roman" w:hAnsi="Times New Roman" w:cs="Times New Roman"/>
          <w:sz w:val="24"/>
          <w:szCs w:val="24"/>
          <w:lang w:val="en-US"/>
        </w:rPr>
        <w:t xml:space="preserve"> policies and innovation dynamics</w:t>
      </w:r>
      <w:r w:rsidRPr="00B92481">
        <w:rPr>
          <w:rFonts w:ascii="Times New Roman" w:hAnsi="Times New Roman" w:cs="Times New Roman"/>
          <w:sz w:val="24"/>
          <w:szCs w:val="24"/>
          <w:lang w:val="en-US"/>
        </w:rPr>
        <w:t xml:space="preserve"> th</w:t>
      </w:r>
      <w:r w:rsidR="001407D9">
        <w:rPr>
          <w:rFonts w:ascii="Times New Roman" w:hAnsi="Times New Roman" w:cs="Times New Roman"/>
          <w:sz w:val="24"/>
          <w:szCs w:val="24"/>
          <w:lang w:val="en-US"/>
        </w:rPr>
        <w:t xml:space="preserve">at govern the </w:t>
      </w:r>
      <w:r w:rsidRPr="00B92481">
        <w:rPr>
          <w:rFonts w:ascii="Times New Roman" w:hAnsi="Times New Roman" w:cs="Times New Roman"/>
          <w:sz w:val="24"/>
          <w:szCs w:val="24"/>
          <w:lang w:val="en-US"/>
        </w:rPr>
        <w:t xml:space="preserve">biofuels industry, clarifying relevant aspects of coevolutionary dynamics of regulation and the technologies employed in the </w:t>
      </w:r>
      <w:r w:rsidR="00DD2A43">
        <w:rPr>
          <w:rFonts w:ascii="Times New Roman" w:hAnsi="Times New Roman" w:cs="Times New Roman"/>
          <w:sz w:val="24"/>
          <w:szCs w:val="24"/>
          <w:lang w:val="en-US"/>
        </w:rPr>
        <w:t xml:space="preserve">biofuels </w:t>
      </w:r>
      <w:r w:rsidRPr="00B92481">
        <w:rPr>
          <w:rFonts w:ascii="Times New Roman" w:hAnsi="Times New Roman" w:cs="Times New Roman"/>
          <w:sz w:val="24"/>
          <w:szCs w:val="24"/>
          <w:lang w:val="en-US"/>
        </w:rPr>
        <w:t>pr</w:t>
      </w:r>
      <w:r w:rsidR="00DD2A43">
        <w:rPr>
          <w:rFonts w:ascii="Times New Roman" w:hAnsi="Times New Roman" w:cs="Times New Roman"/>
          <w:sz w:val="24"/>
          <w:szCs w:val="24"/>
          <w:lang w:val="en-US"/>
        </w:rPr>
        <w:t>oduction</w:t>
      </w:r>
      <w:r w:rsidR="001407D9">
        <w:rPr>
          <w:rFonts w:ascii="Times New Roman" w:hAnsi="Times New Roman" w:cs="Times New Roman"/>
          <w:sz w:val="24"/>
          <w:szCs w:val="24"/>
          <w:lang w:val="en-US"/>
        </w:rPr>
        <w:t>. The study presents</w:t>
      </w:r>
      <w:r w:rsidRPr="00B92481">
        <w:rPr>
          <w:rFonts w:ascii="Times New Roman" w:hAnsi="Times New Roman" w:cs="Times New Roman"/>
          <w:sz w:val="24"/>
          <w:szCs w:val="24"/>
          <w:lang w:val="en-US"/>
        </w:rPr>
        <w:t xml:space="preserve"> the main government actions that restrict and encourage the production and consum</w:t>
      </w:r>
      <w:r w:rsidR="001407D9">
        <w:rPr>
          <w:rFonts w:ascii="Times New Roman" w:hAnsi="Times New Roman" w:cs="Times New Roman"/>
          <w:sz w:val="24"/>
          <w:szCs w:val="24"/>
          <w:lang w:val="en-US"/>
        </w:rPr>
        <w:t>ption of biofuels and analyzes</w:t>
      </w:r>
      <w:r w:rsidRPr="00B92481">
        <w:rPr>
          <w:rFonts w:ascii="Times New Roman" w:hAnsi="Times New Roman" w:cs="Times New Roman"/>
          <w:sz w:val="24"/>
          <w:szCs w:val="24"/>
          <w:lang w:val="en-US"/>
        </w:rPr>
        <w:t xml:space="preserve"> its effects on industry structure. </w:t>
      </w:r>
      <w:r w:rsidR="001407D9">
        <w:rPr>
          <w:rFonts w:ascii="Times New Roman" w:hAnsi="Times New Roman" w:cs="Times New Roman"/>
          <w:sz w:val="24"/>
          <w:szCs w:val="24"/>
          <w:lang w:val="en-US"/>
        </w:rPr>
        <w:t>While</w:t>
      </w:r>
      <w:r w:rsidRPr="00B92481">
        <w:rPr>
          <w:rFonts w:ascii="Times New Roman" w:hAnsi="Times New Roman" w:cs="Times New Roman"/>
          <w:sz w:val="24"/>
          <w:szCs w:val="24"/>
          <w:lang w:val="en-US"/>
        </w:rPr>
        <w:t xml:space="preserve"> the industry seeks to introduc</w:t>
      </w:r>
      <w:r w:rsidR="001407D9">
        <w:rPr>
          <w:rFonts w:ascii="Times New Roman" w:hAnsi="Times New Roman" w:cs="Times New Roman"/>
          <w:sz w:val="24"/>
          <w:szCs w:val="24"/>
          <w:lang w:val="en-US"/>
        </w:rPr>
        <w:t xml:space="preserve">e technological innovations, </w:t>
      </w:r>
      <w:r w:rsidR="00DD2A43">
        <w:rPr>
          <w:rFonts w:ascii="Times New Roman" w:hAnsi="Times New Roman" w:cs="Times New Roman"/>
          <w:sz w:val="24"/>
          <w:szCs w:val="24"/>
          <w:lang w:val="en-US"/>
        </w:rPr>
        <w:t>regulatory framework changes</w:t>
      </w:r>
      <w:r w:rsidRPr="00B92481">
        <w:rPr>
          <w:rFonts w:ascii="Times New Roman" w:hAnsi="Times New Roman" w:cs="Times New Roman"/>
          <w:sz w:val="24"/>
          <w:szCs w:val="24"/>
          <w:lang w:val="en-US"/>
        </w:rPr>
        <w:t xml:space="preserve"> at a slower pace. The regulatory adaptation is considered, therefore, a key </w:t>
      </w:r>
      <w:r w:rsidR="001407D9">
        <w:rPr>
          <w:rFonts w:ascii="Times New Roman" w:hAnsi="Times New Roman" w:cs="Times New Roman"/>
          <w:sz w:val="24"/>
          <w:szCs w:val="24"/>
          <w:lang w:val="en-US"/>
        </w:rPr>
        <w:t>capability</w:t>
      </w:r>
      <w:r w:rsidRPr="00B92481">
        <w:rPr>
          <w:rFonts w:ascii="Times New Roman" w:hAnsi="Times New Roman" w:cs="Times New Roman"/>
          <w:sz w:val="24"/>
          <w:szCs w:val="24"/>
          <w:lang w:val="en-US"/>
        </w:rPr>
        <w:t xml:space="preserve"> for the promotion of technological development in regulated industries. The study presents two cases: one in Brazil and another in the United States, identifying the existence of more flexible mechan</w:t>
      </w:r>
      <w:r w:rsidR="001407D9">
        <w:rPr>
          <w:rFonts w:ascii="Times New Roman" w:hAnsi="Times New Roman" w:cs="Times New Roman"/>
          <w:sz w:val="24"/>
          <w:szCs w:val="24"/>
          <w:lang w:val="en-US"/>
        </w:rPr>
        <w:t>isms in the second case, although</w:t>
      </w:r>
      <w:r w:rsidRPr="00B92481">
        <w:rPr>
          <w:rFonts w:ascii="Times New Roman" w:hAnsi="Times New Roman" w:cs="Times New Roman"/>
          <w:sz w:val="24"/>
          <w:szCs w:val="24"/>
          <w:lang w:val="en-US"/>
        </w:rPr>
        <w:t xml:space="preserve"> the introduction of new biofuels is subject to criteria of quality and transparency through processes similar to those adopted </w:t>
      </w:r>
      <w:r w:rsidR="001407D9">
        <w:rPr>
          <w:rFonts w:ascii="Times New Roman" w:hAnsi="Times New Roman" w:cs="Times New Roman"/>
          <w:sz w:val="24"/>
          <w:szCs w:val="24"/>
          <w:lang w:val="en-US"/>
        </w:rPr>
        <w:t xml:space="preserve">by the </w:t>
      </w:r>
      <w:r w:rsidRPr="00B92481">
        <w:rPr>
          <w:rFonts w:ascii="Times New Roman" w:hAnsi="Times New Roman" w:cs="Times New Roman"/>
          <w:sz w:val="24"/>
          <w:szCs w:val="24"/>
          <w:lang w:val="en-US"/>
        </w:rPr>
        <w:t>Brazil</w:t>
      </w:r>
      <w:r w:rsidR="001407D9">
        <w:rPr>
          <w:rFonts w:ascii="Times New Roman" w:hAnsi="Times New Roman" w:cs="Times New Roman"/>
          <w:sz w:val="24"/>
          <w:szCs w:val="24"/>
          <w:lang w:val="en-US"/>
        </w:rPr>
        <w:t>ian regulatory agency</w:t>
      </w:r>
      <w:r w:rsidRPr="00B92481">
        <w:rPr>
          <w:rFonts w:ascii="Times New Roman" w:hAnsi="Times New Roman" w:cs="Times New Roman"/>
          <w:sz w:val="24"/>
          <w:szCs w:val="24"/>
          <w:lang w:val="en-US"/>
        </w:rPr>
        <w:t>.</w:t>
      </w:r>
      <w:r w:rsidR="00937127">
        <w:rPr>
          <w:rFonts w:ascii="Times New Roman" w:hAnsi="Times New Roman" w:cs="Times New Roman"/>
          <w:sz w:val="24"/>
          <w:szCs w:val="24"/>
          <w:lang w:val="en-US"/>
        </w:rPr>
        <w:t xml:space="preserve"> </w:t>
      </w:r>
      <w:r w:rsidR="00937127" w:rsidRPr="00937127">
        <w:rPr>
          <w:rFonts w:ascii="Times New Roman" w:hAnsi="Times New Roman" w:cs="Times New Roman"/>
          <w:sz w:val="24"/>
          <w:szCs w:val="24"/>
          <w:lang w:val="en-US"/>
        </w:rPr>
        <w:t xml:space="preserve">The </w:t>
      </w:r>
      <w:r w:rsidR="00937127">
        <w:rPr>
          <w:rFonts w:ascii="Times New Roman" w:hAnsi="Times New Roman" w:cs="Times New Roman"/>
          <w:sz w:val="24"/>
          <w:szCs w:val="24"/>
          <w:lang w:val="en-US"/>
        </w:rPr>
        <w:t xml:space="preserve">case studies </w:t>
      </w:r>
      <w:r w:rsidR="00506188">
        <w:rPr>
          <w:rFonts w:ascii="Times New Roman" w:hAnsi="Times New Roman" w:cs="Times New Roman"/>
          <w:sz w:val="24"/>
          <w:szCs w:val="24"/>
          <w:lang w:val="en-US"/>
        </w:rPr>
        <w:t>demonstrate</w:t>
      </w:r>
      <w:r w:rsidR="00937127" w:rsidRPr="00937127">
        <w:rPr>
          <w:rFonts w:ascii="Times New Roman" w:hAnsi="Times New Roman" w:cs="Times New Roman"/>
          <w:sz w:val="24"/>
          <w:szCs w:val="24"/>
          <w:lang w:val="en-US"/>
        </w:rPr>
        <w:t xml:space="preserve"> that the</w:t>
      </w:r>
      <w:r w:rsidR="00506188">
        <w:rPr>
          <w:rFonts w:ascii="Times New Roman" w:hAnsi="Times New Roman" w:cs="Times New Roman"/>
          <w:sz w:val="24"/>
          <w:szCs w:val="24"/>
          <w:lang w:val="en-US"/>
        </w:rPr>
        <w:t xml:space="preserve"> Brazilian</w:t>
      </w:r>
      <w:r w:rsidR="00937127" w:rsidRPr="00937127">
        <w:rPr>
          <w:rFonts w:ascii="Times New Roman" w:hAnsi="Times New Roman" w:cs="Times New Roman"/>
          <w:sz w:val="24"/>
          <w:szCs w:val="24"/>
          <w:lang w:val="en-US"/>
        </w:rPr>
        <w:t xml:space="preserve"> regulation </w:t>
      </w:r>
      <w:r w:rsidR="00506188">
        <w:rPr>
          <w:rFonts w:ascii="Times New Roman" w:hAnsi="Times New Roman" w:cs="Times New Roman"/>
          <w:sz w:val="24"/>
          <w:szCs w:val="24"/>
          <w:lang w:val="en-US"/>
        </w:rPr>
        <w:t>follows</w:t>
      </w:r>
      <w:r w:rsidR="00937127" w:rsidRPr="00937127">
        <w:rPr>
          <w:rFonts w:ascii="Times New Roman" w:hAnsi="Times New Roman" w:cs="Times New Roman"/>
          <w:sz w:val="24"/>
          <w:szCs w:val="24"/>
          <w:lang w:val="en-US"/>
        </w:rPr>
        <w:t xml:space="preserve"> the introduction of new technologies in the industry </w:t>
      </w:r>
      <w:r w:rsidR="00937127">
        <w:rPr>
          <w:rFonts w:ascii="Times New Roman" w:hAnsi="Times New Roman" w:cs="Times New Roman"/>
          <w:sz w:val="24"/>
          <w:szCs w:val="24"/>
          <w:lang w:val="en-US"/>
        </w:rPr>
        <w:t>and</w:t>
      </w:r>
      <w:r w:rsidR="00506188">
        <w:rPr>
          <w:rFonts w:ascii="Times New Roman" w:hAnsi="Times New Roman" w:cs="Times New Roman"/>
          <w:sz w:val="24"/>
          <w:szCs w:val="24"/>
          <w:lang w:val="en-US"/>
        </w:rPr>
        <w:t xml:space="preserve"> greater complexity in its institutional design is less favorable to a</w:t>
      </w:r>
      <w:r w:rsidR="00937127">
        <w:rPr>
          <w:rFonts w:ascii="Times New Roman" w:hAnsi="Times New Roman" w:cs="Times New Roman"/>
          <w:sz w:val="24"/>
          <w:szCs w:val="24"/>
          <w:lang w:val="en-US"/>
        </w:rPr>
        <w:t xml:space="preserve"> broader coordination of regulatory activity</w:t>
      </w:r>
      <w:r w:rsidR="00506188">
        <w:rPr>
          <w:rFonts w:ascii="Times New Roman" w:hAnsi="Times New Roman" w:cs="Times New Roman"/>
          <w:sz w:val="24"/>
          <w:szCs w:val="24"/>
          <w:lang w:val="en-US"/>
        </w:rPr>
        <w:t xml:space="preserve"> with the objectives of</w:t>
      </w:r>
      <w:r w:rsidR="00937127" w:rsidRPr="00937127">
        <w:rPr>
          <w:rFonts w:ascii="Times New Roman" w:hAnsi="Times New Roman" w:cs="Times New Roman"/>
          <w:sz w:val="24"/>
          <w:szCs w:val="24"/>
          <w:lang w:val="en-US"/>
        </w:rPr>
        <w:t xml:space="preserve"> public policies</w:t>
      </w:r>
      <w:r w:rsidR="00506188">
        <w:rPr>
          <w:rFonts w:ascii="Times New Roman" w:hAnsi="Times New Roman" w:cs="Times New Roman"/>
          <w:sz w:val="24"/>
          <w:szCs w:val="24"/>
          <w:lang w:val="en-US"/>
        </w:rPr>
        <w:t xml:space="preserve"> than in the United States</w:t>
      </w:r>
      <w:r w:rsidR="00937127" w:rsidRPr="00937127">
        <w:rPr>
          <w:rFonts w:ascii="Times New Roman" w:hAnsi="Times New Roman" w:cs="Times New Roman"/>
          <w:sz w:val="24"/>
          <w:szCs w:val="24"/>
          <w:lang w:val="en-US"/>
        </w:rPr>
        <w:t>.</w:t>
      </w:r>
    </w:p>
    <w:p w:rsidR="006504A5" w:rsidRPr="00506188" w:rsidRDefault="00F40B1A" w:rsidP="00506188">
      <w:pPr>
        <w:spacing w:line="360" w:lineRule="auto"/>
        <w:rPr>
          <w:rFonts w:ascii="Times New Roman" w:hAnsi="Times New Roman" w:cs="Times New Roman"/>
          <w:sz w:val="24"/>
          <w:szCs w:val="24"/>
        </w:rPr>
      </w:pPr>
      <w:r w:rsidRPr="00506188">
        <w:rPr>
          <w:rFonts w:ascii="Times New Roman" w:hAnsi="Times New Roman" w:cs="Times New Roman"/>
          <w:sz w:val="24"/>
          <w:szCs w:val="24"/>
        </w:rPr>
        <w:t>Keywords: Regulation. Innovation. Biofuels.</w:t>
      </w:r>
    </w:p>
    <w:p w:rsidR="00506188" w:rsidRDefault="00506188">
      <w:pPr>
        <w:rPr>
          <w:rFonts w:ascii="Times New Roman" w:hAnsi="Times New Roman" w:cs="Times New Roman"/>
          <w:b/>
          <w:caps/>
          <w:sz w:val="24"/>
          <w:szCs w:val="24"/>
          <w:lang w:val="pt-PT"/>
        </w:rPr>
      </w:pPr>
      <w:r>
        <w:rPr>
          <w:rFonts w:ascii="Times New Roman" w:hAnsi="Times New Roman" w:cs="Times New Roman"/>
          <w:b/>
          <w:caps/>
          <w:sz w:val="24"/>
          <w:szCs w:val="24"/>
          <w:lang w:val="pt-PT"/>
        </w:rPr>
        <w:br w:type="page"/>
      </w:r>
    </w:p>
    <w:p w:rsidR="006504A5" w:rsidRDefault="006504A5" w:rsidP="006504A5">
      <w:pPr>
        <w:spacing w:line="360" w:lineRule="auto"/>
        <w:jc w:val="center"/>
        <w:rPr>
          <w:rFonts w:ascii="Times New Roman" w:hAnsi="Times New Roman" w:cs="Times New Roman"/>
          <w:b/>
          <w:caps/>
          <w:sz w:val="24"/>
          <w:szCs w:val="24"/>
          <w:lang w:val="pt-PT"/>
        </w:rPr>
      </w:pPr>
      <w:r>
        <w:rPr>
          <w:rFonts w:ascii="Times New Roman" w:hAnsi="Times New Roman" w:cs="Times New Roman"/>
          <w:b/>
          <w:caps/>
          <w:sz w:val="24"/>
          <w:szCs w:val="24"/>
          <w:lang w:val="pt-PT"/>
        </w:rPr>
        <w:lastRenderedPageBreak/>
        <w:t>lista de abreviaturas e siglas</w:t>
      </w:r>
    </w:p>
    <w:p w:rsidR="006504A5" w:rsidRDefault="006504A5" w:rsidP="006504A5">
      <w:pPr>
        <w:spacing w:line="360" w:lineRule="auto"/>
        <w:jc w:val="center"/>
        <w:rPr>
          <w:rFonts w:ascii="Times New Roman" w:hAnsi="Times New Roman" w:cs="Times New Roman"/>
          <w:b/>
          <w:caps/>
          <w:sz w:val="24"/>
          <w:szCs w:val="24"/>
          <w:lang w:val="pt-PT"/>
        </w:rPr>
      </w:pPr>
    </w:p>
    <w:tbl>
      <w:tblPr>
        <w:tblStyle w:val="Tabelacomgrade"/>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1550"/>
        <w:gridCol w:w="6382"/>
      </w:tblGrid>
      <w:tr w:rsidR="006504A5" w:rsidRPr="007344AB" w:rsidTr="00E85793">
        <w:tc>
          <w:tcPr>
            <w:tcW w:w="1550" w:type="dxa"/>
          </w:tcPr>
          <w:p w:rsidR="00580849" w:rsidRDefault="00580849" w:rsidP="00E85793">
            <w:pPr>
              <w:spacing w:line="360" w:lineRule="auto"/>
              <w:rPr>
                <w:rFonts w:ascii="Times New Roman" w:hAnsi="Times New Roman" w:cs="Times New Roman"/>
                <w:b/>
                <w:caps/>
                <w:sz w:val="24"/>
                <w:szCs w:val="24"/>
                <w:lang w:val="pt-PT"/>
              </w:rPr>
            </w:pPr>
            <w:r>
              <w:rPr>
                <w:rFonts w:ascii="Times New Roman" w:hAnsi="Times New Roman" w:cs="Times New Roman"/>
                <w:b/>
                <w:caps/>
                <w:sz w:val="24"/>
                <w:szCs w:val="24"/>
                <w:lang w:val="pt-PT"/>
              </w:rPr>
              <w:t>acv</w:t>
            </w:r>
          </w:p>
          <w:p w:rsidR="006504A5" w:rsidRDefault="006504A5" w:rsidP="00E85793">
            <w:pPr>
              <w:spacing w:line="360" w:lineRule="auto"/>
              <w:rPr>
                <w:rFonts w:ascii="Times New Roman" w:hAnsi="Times New Roman" w:cs="Times New Roman"/>
                <w:b/>
                <w:caps/>
                <w:sz w:val="24"/>
                <w:szCs w:val="24"/>
                <w:lang w:val="pt-PT"/>
              </w:rPr>
            </w:pPr>
            <w:r>
              <w:rPr>
                <w:rFonts w:ascii="Times New Roman" w:hAnsi="Times New Roman" w:cs="Times New Roman"/>
                <w:b/>
                <w:caps/>
                <w:sz w:val="24"/>
                <w:szCs w:val="24"/>
                <w:lang w:val="pt-PT"/>
              </w:rPr>
              <w:t>AIE</w:t>
            </w:r>
          </w:p>
          <w:p w:rsidR="006504A5" w:rsidRPr="00A73DC3" w:rsidRDefault="006504A5" w:rsidP="00E85793">
            <w:pPr>
              <w:spacing w:line="360" w:lineRule="auto"/>
              <w:rPr>
                <w:rFonts w:ascii="Times New Roman" w:hAnsi="Times New Roman" w:cs="Times New Roman"/>
                <w:b/>
                <w:caps/>
                <w:sz w:val="24"/>
                <w:szCs w:val="24"/>
                <w:lang w:val="pt-PT"/>
              </w:rPr>
            </w:pPr>
            <w:r w:rsidRPr="00A73DC3">
              <w:rPr>
                <w:rFonts w:ascii="Times New Roman" w:hAnsi="Times New Roman" w:cs="Times New Roman"/>
                <w:b/>
                <w:caps/>
                <w:sz w:val="24"/>
                <w:szCs w:val="24"/>
                <w:lang w:val="pt-PT"/>
              </w:rPr>
              <w:t>ANP</w:t>
            </w:r>
          </w:p>
        </w:tc>
        <w:tc>
          <w:tcPr>
            <w:tcW w:w="6382" w:type="dxa"/>
          </w:tcPr>
          <w:p w:rsidR="00580849" w:rsidRDefault="00580849" w:rsidP="00E85793">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 xml:space="preserve">Avaliação do Ciclo de Vida </w:t>
            </w:r>
          </w:p>
          <w:p w:rsidR="006504A5" w:rsidRDefault="006504A5" w:rsidP="00E85793">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Agência Internacional de Energia</w:t>
            </w:r>
          </w:p>
          <w:p w:rsidR="007344AB" w:rsidRPr="00A73DC3" w:rsidRDefault="006504A5" w:rsidP="00E85793">
            <w:pPr>
              <w:spacing w:line="360" w:lineRule="auto"/>
              <w:rPr>
                <w:rFonts w:ascii="Times New Roman" w:hAnsi="Times New Roman" w:cs="Times New Roman"/>
                <w:sz w:val="24"/>
                <w:szCs w:val="24"/>
                <w:lang w:val="pt-PT"/>
              </w:rPr>
            </w:pPr>
            <w:r w:rsidRPr="00A73DC3">
              <w:rPr>
                <w:rFonts w:ascii="Times New Roman" w:hAnsi="Times New Roman" w:cs="Times New Roman"/>
                <w:sz w:val="24"/>
                <w:szCs w:val="24"/>
                <w:lang w:val="pt-PT"/>
              </w:rPr>
              <w:t>A</w:t>
            </w:r>
            <w:r>
              <w:rPr>
                <w:rFonts w:ascii="Times New Roman" w:hAnsi="Times New Roman" w:cs="Times New Roman"/>
                <w:sz w:val="24"/>
                <w:szCs w:val="24"/>
                <w:lang w:val="pt-PT"/>
              </w:rPr>
              <w:t>gência Nacional do Petróleo, Gás Natural e Biocombustíveis</w:t>
            </w:r>
          </w:p>
        </w:tc>
      </w:tr>
      <w:tr w:rsidR="007344AB" w:rsidRPr="007344AB" w:rsidTr="00E85793">
        <w:tc>
          <w:tcPr>
            <w:tcW w:w="1550" w:type="dxa"/>
          </w:tcPr>
          <w:p w:rsidR="007344AB" w:rsidRDefault="007344AB" w:rsidP="00E85793">
            <w:pPr>
              <w:spacing w:line="360" w:lineRule="auto"/>
              <w:rPr>
                <w:rFonts w:ascii="Times New Roman" w:hAnsi="Times New Roman" w:cs="Times New Roman"/>
                <w:b/>
                <w:caps/>
                <w:sz w:val="24"/>
                <w:szCs w:val="24"/>
                <w:lang w:val="pt-PT"/>
              </w:rPr>
            </w:pPr>
            <w:r>
              <w:rPr>
                <w:rFonts w:ascii="Times New Roman" w:hAnsi="Times New Roman" w:cs="Times New Roman"/>
                <w:b/>
                <w:caps/>
                <w:sz w:val="24"/>
                <w:szCs w:val="24"/>
                <w:lang w:val="pt-PT"/>
              </w:rPr>
              <w:t>ANFAVEA</w:t>
            </w:r>
          </w:p>
        </w:tc>
        <w:tc>
          <w:tcPr>
            <w:tcW w:w="6382" w:type="dxa"/>
          </w:tcPr>
          <w:p w:rsidR="007344AB" w:rsidRDefault="007344AB" w:rsidP="00E85793">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Associação Nacional dos Fabricantes de Veículos Automotores</w:t>
            </w:r>
          </w:p>
        </w:tc>
      </w:tr>
      <w:tr w:rsidR="007344AB" w:rsidRPr="007344AB" w:rsidTr="00E85793">
        <w:tc>
          <w:tcPr>
            <w:tcW w:w="1550" w:type="dxa"/>
          </w:tcPr>
          <w:p w:rsidR="007344AB" w:rsidRDefault="007344AB" w:rsidP="00E85793">
            <w:pPr>
              <w:spacing w:line="360" w:lineRule="auto"/>
              <w:rPr>
                <w:rFonts w:ascii="Times New Roman" w:hAnsi="Times New Roman" w:cs="Times New Roman"/>
                <w:b/>
                <w:caps/>
                <w:sz w:val="24"/>
                <w:szCs w:val="24"/>
                <w:lang w:val="pt-PT"/>
              </w:rPr>
            </w:pPr>
            <w:r>
              <w:rPr>
                <w:rFonts w:ascii="Times New Roman" w:hAnsi="Times New Roman" w:cs="Times New Roman"/>
                <w:b/>
                <w:caps/>
                <w:sz w:val="24"/>
                <w:szCs w:val="24"/>
                <w:lang w:val="pt-PT"/>
              </w:rPr>
              <w:t>APROBIO</w:t>
            </w:r>
          </w:p>
        </w:tc>
        <w:tc>
          <w:tcPr>
            <w:tcW w:w="6382" w:type="dxa"/>
          </w:tcPr>
          <w:p w:rsidR="007344AB" w:rsidRDefault="007344AB" w:rsidP="00E85793">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Associação dos Produtores de Biodiesel do Brasil</w:t>
            </w:r>
          </w:p>
        </w:tc>
      </w:tr>
      <w:tr w:rsidR="006504A5" w:rsidRPr="00A73DC3" w:rsidTr="00E85793">
        <w:tc>
          <w:tcPr>
            <w:tcW w:w="1550" w:type="dxa"/>
          </w:tcPr>
          <w:p w:rsidR="006504A5" w:rsidRPr="00A73DC3" w:rsidRDefault="006504A5" w:rsidP="00E85793">
            <w:pPr>
              <w:spacing w:line="360" w:lineRule="auto"/>
              <w:rPr>
                <w:rFonts w:ascii="Times New Roman" w:hAnsi="Times New Roman" w:cs="Times New Roman"/>
                <w:b/>
                <w:caps/>
                <w:sz w:val="24"/>
                <w:szCs w:val="24"/>
                <w:lang w:val="pt-PT"/>
              </w:rPr>
            </w:pPr>
            <w:r w:rsidRPr="00A73DC3">
              <w:rPr>
                <w:rFonts w:ascii="Times New Roman" w:hAnsi="Times New Roman" w:cs="Times New Roman"/>
                <w:b/>
                <w:caps/>
                <w:sz w:val="24"/>
                <w:szCs w:val="24"/>
                <w:lang w:val="pt-PT"/>
              </w:rPr>
              <w:t>BNDES</w:t>
            </w:r>
          </w:p>
        </w:tc>
        <w:tc>
          <w:tcPr>
            <w:tcW w:w="6382" w:type="dxa"/>
          </w:tcPr>
          <w:p w:rsidR="006504A5" w:rsidRPr="00A73DC3" w:rsidRDefault="006504A5" w:rsidP="00E85793">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Banco Nacional de Desenvolvimento Econômico e Social</w:t>
            </w:r>
          </w:p>
        </w:tc>
      </w:tr>
      <w:tr w:rsidR="006504A5" w:rsidRPr="00A73DC3" w:rsidTr="00E85793">
        <w:tc>
          <w:tcPr>
            <w:tcW w:w="1550" w:type="dxa"/>
          </w:tcPr>
          <w:p w:rsidR="006504A5" w:rsidRPr="00A73DC3" w:rsidRDefault="006504A5" w:rsidP="00E85793">
            <w:pPr>
              <w:spacing w:line="360" w:lineRule="auto"/>
              <w:rPr>
                <w:rFonts w:ascii="Times New Roman" w:hAnsi="Times New Roman" w:cs="Times New Roman"/>
                <w:b/>
                <w:caps/>
                <w:sz w:val="24"/>
                <w:szCs w:val="24"/>
                <w:lang w:val="pt-PT"/>
              </w:rPr>
            </w:pPr>
            <w:r>
              <w:rPr>
                <w:rFonts w:ascii="Times New Roman" w:hAnsi="Times New Roman" w:cs="Times New Roman"/>
                <w:b/>
                <w:caps/>
                <w:sz w:val="24"/>
                <w:szCs w:val="24"/>
                <w:lang w:val="pt-PT"/>
              </w:rPr>
              <w:t>BEN</w:t>
            </w:r>
          </w:p>
        </w:tc>
        <w:tc>
          <w:tcPr>
            <w:tcW w:w="6382" w:type="dxa"/>
          </w:tcPr>
          <w:p w:rsidR="006504A5" w:rsidRDefault="006504A5" w:rsidP="00E85793">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Balanço Energético Nacional</w:t>
            </w:r>
          </w:p>
        </w:tc>
      </w:tr>
      <w:tr w:rsidR="00286902" w:rsidRPr="00A73DC3" w:rsidTr="00E85793">
        <w:tc>
          <w:tcPr>
            <w:tcW w:w="1550" w:type="dxa"/>
          </w:tcPr>
          <w:p w:rsidR="00286902" w:rsidRDefault="00286902" w:rsidP="00E85793">
            <w:pPr>
              <w:spacing w:line="360" w:lineRule="auto"/>
              <w:rPr>
                <w:rFonts w:ascii="Times New Roman" w:hAnsi="Times New Roman" w:cs="Times New Roman"/>
                <w:b/>
                <w:caps/>
                <w:sz w:val="24"/>
                <w:szCs w:val="24"/>
                <w:lang w:val="pt-PT"/>
              </w:rPr>
            </w:pPr>
            <w:r>
              <w:rPr>
                <w:rFonts w:ascii="Times New Roman" w:hAnsi="Times New Roman" w:cs="Times New Roman"/>
                <w:b/>
                <w:caps/>
                <w:sz w:val="24"/>
                <w:szCs w:val="24"/>
                <w:lang w:val="pt-PT"/>
              </w:rPr>
              <w:t>BTL</w:t>
            </w:r>
          </w:p>
        </w:tc>
        <w:tc>
          <w:tcPr>
            <w:tcW w:w="6382" w:type="dxa"/>
          </w:tcPr>
          <w:p w:rsidR="00286902" w:rsidRDefault="00286902" w:rsidP="00E85793">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Biomass-to-Liquids</w:t>
            </w:r>
          </w:p>
        </w:tc>
      </w:tr>
      <w:tr w:rsidR="007344AB" w:rsidRPr="00A73DC3" w:rsidTr="00E85793">
        <w:tc>
          <w:tcPr>
            <w:tcW w:w="1550" w:type="dxa"/>
          </w:tcPr>
          <w:p w:rsidR="007344AB" w:rsidRDefault="007344AB" w:rsidP="00E85793">
            <w:pPr>
              <w:spacing w:line="360" w:lineRule="auto"/>
              <w:rPr>
                <w:rFonts w:ascii="Times New Roman" w:hAnsi="Times New Roman" w:cs="Times New Roman"/>
                <w:b/>
                <w:caps/>
                <w:sz w:val="24"/>
                <w:szCs w:val="24"/>
                <w:lang w:val="pt-PT"/>
              </w:rPr>
            </w:pPr>
            <w:r>
              <w:rPr>
                <w:rFonts w:ascii="Times New Roman" w:hAnsi="Times New Roman" w:cs="Times New Roman"/>
                <w:b/>
                <w:caps/>
                <w:sz w:val="24"/>
                <w:szCs w:val="24"/>
                <w:lang w:val="pt-PT"/>
              </w:rPr>
              <w:t>CAA</w:t>
            </w:r>
          </w:p>
        </w:tc>
        <w:tc>
          <w:tcPr>
            <w:tcW w:w="6382" w:type="dxa"/>
          </w:tcPr>
          <w:p w:rsidR="007344AB" w:rsidRDefault="007344AB" w:rsidP="00E85793">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Clean Air Act (EUA)</w:t>
            </w:r>
          </w:p>
        </w:tc>
      </w:tr>
      <w:tr w:rsidR="00580849" w:rsidRPr="00A73DC3" w:rsidTr="00E85793">
        <w:tc>
          <w:tcPr>
            <w:tcW w:w="1550" w:type="dxa"/>
          </w:tcPr>
          <w:p w:rsidR="00580849" w:rsidRDefault="00580849" w:rsidP="00E85793">
            <w:pPr>
              <w:spacing w:line="360" w:lineRule="auto"/>
              <w:rPr>
                <w:rFonts w:ascii="Times New Roman" w:hAnsi="Times New Roman" w:cs="Times New Roman"/>
                <w:b/>
                <w:caps/>
                <w:sz w:val="24"/>
                <w:szCs w:val="24"/>
                <w:lang w:val="pt-PT"/>
              </w:rPr>
            </w:pPr>
            <w:r>
              <w:rPr>
                <w:rFonts w:ascii="Times New Roman" w:hAnsi="Times New Roman" w:cs="Times New Roman"/>
                <w:b/>
                <w:caps/>
                <w:sz w:val="24"/>
                <w:szCs w:val="24"/>
                <w:lang w:val="pt-PT"/>
              </w:rPr>
              <w:t>cenpes</w:t>
            </w:r>
          </w:p>
        </w:tc>
        <w:tc>
          <w:tcPr>
            <w:tcW w:w="6382" w:type="dxa"/>
          </w:tcPr>
          <w:p w:rsidR="00580849" w:rsidRPr="00580849" w:rsidRDefault="00580849" w:rsidP="00E85793">
            <w:pPr>
              <w:spacing w:line="360" w:lineRule="auto"/>
              <w:rPr>
                <w:rFonts w:ascii="Times New Roman" w:hAnsi="Times New Roman" w:cs="Times New Roman"/>
                <w:sz w:val="24"/>
                <w:szCs w:val="24"/>
              </w:rPr>
            </w:pPr>
            <w:r w:rsidRPr="00580849">
              <w:rPr>
                <w:rFonts w:ascii="Times New Roman" w:hAnsi="Times New Roman" w:cs="Times New Roman"/>
                <w:sz w:val="24"/>
                <w:szCs w:val="24"/>
              </w:rPr>
              <w:t>Centro de Pesquisas e Desenvolvimento Leopoldo Américo Miguez de Mello</w:t>
            </w:r>
            <w:r>
              <w:rPr>
                <w:rFonts w:ascii="Times New Roman" w:hAnsi="Times New Roman" w:cs="Times New Roman"/>
                <w:sz w:val="24"/>
                <w:szCs w:val="24"/>
              </w:rPr>
              <w:t xml:space="preserve"> (Petrobras)</w:t>
            </w:r>
          </w:p>
        </w:tc>
      </w:tr>
      <w:tr w:rsidR="00580849" w:rsidRPr="00A73DC3" w:rsidTr="00E85793">
        <w:tc>
          <w:tcPr>
            <w:tcW w:w="1550" w:type="dxa"/>
          </w:tcPr>
          <w:p w:rsidR="00580849" w:rsidRDefault="00580849" w:rsidP="00E85793">
            <w:pPr>
              <w:spacing w:line="360" w:lineRule="auto"/>
              <w:rPr>
                <w:rFonts w:ascii="Times New Roman" w:hAnsi="Times New Roman" w:cs="Times New Roman"/>
                <w:b/>
                <w:caps/>
                <w:sz w:val="24"/>
                <w:szCs w:val="24"/>
                <w:lang w:val="pt-PT"/>
              </w:rPr>
            </w:pPr>
            <w:r>
              <w:rPr>
                <w:rFonts w:ascii="Times New Roman" w:hAnsi="Times New Roman" w:cs="Times New Roman"/>
                <w:b/>
                <w:caps/>
                <w:sz w:val="24"/>
                <w:szCs w:val="24"/>
                <w:lang w:val="pt-PT"/>
              </w:rPr>
              <w:t>ctc</w:t>
            </w:r>
          </w:p>
        </w:tc>
        <w:tc>
          <w:tcPr>
            <w:tcW w:w="6382" w:type="dxa"/>
          </w:tcPr>
          <w:p w:rsidR="00580849" w:rsidRDefault="00580849" w:rsidP="00E85793">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Centro de Tecnologia Canavieira</w:t>
            </w:r>
          </w:p>
        </w:tc>
      </w:tr>
      <w:tr w:rsidR="007344AB" w:rsidRPr="00A73DC3" w:rsidTr="00E85793">
        <w:tc>
          <w:tcPr>
            <w:tcW w:w="1550" w:type="dxa"/>
          </w:tcPr>
          <w:p w:rsidR="007344AB" w:rsidRDefault="007344AB" w:rsidP="00E85793">
            <w:pPr>
              <w:spacing w:line="360" w:lineRule="auto"/>
              <w:rPr>
                <w:rFonts w:ascii="Times New Roman" w:hAnsi="Times New Roman" w:cs="Times New Roman"/>
                <w:b/>
                <w:caps/>
                <w:sz w:val="24"/>
                <w:szCs w:val="24"/>
                <w:lang w:val="pt-PT"/>
              </w:rPr>
            </w:pPr>
            <w:r>
              <w:rPr>
                <w:rFonts w:ascii="Times New Roman" w:hAnsi="Times New Roman" w:cs="Times New Roman"/>
                <w:b/>
                <w:caps/>
                <w:sz w:val="24"/>
                <w:szCs w:val="24"/>
                <w:lang w:val="pt-PT"/>
              </w:rPr>
              <w:t>CGEE</w:t>
            </w:r>
          </w:p>
        </w:tc>
        <w:tc>
          <w:tcPr>
            <w:tcW w:w="6382" w:type="dxa"/>
          </w:tcPr>
          <w:p w:rsidR="007344AB" w:rsidRDefault="007344AB" w:rsidP="00E85793">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Centro de Gestão de Estudos Estratégicos</w:t>
            </w:r>
          </w:p>
        </w:tc>
      </w:tr>
      <w:tr w:rsidR="00B946E6" w:rsidRPr="00A73DC3" w:rsidTr="00E85793">
        <w:tc>
          <w:tcPr>
            <w:tcW w:w="1550" w:type="dxa"/>
          </w:tcPr>
          <w:p w:rsidR="00B946E6" w:rsidRPr="00A73DC3" w:rsidRDefault="00B946E6" w:rsidP="00E85793">
            <w:pPr>
              <w:spacing w:line="360" w:lineRule="auto"/>
              <w:rPr>
                <w:rFonts w:ascii="Times New Roman" w:hAnsi="Times New Roman" w:cs="Times New Roman"/>
                <w:b/>
                <w:caps/>
                <w:sz w:val="24"/>
                <w:szCs w:val="24"/>
                <w:lang w:val="pt-PT"/>
              </w:rPr>
            </w:pPr>
            <w:r w:rsidRPr="00A73DC3">
              <w:rPr>
                <w:rFonts w:ascii="Times New Roman" w:hAnsi="Times New Roman" w:cs="Times New Roman"/>
                <w:b/>
                <w:caps/>
                <w:sz w:val="24"/>
                <w:szCs w:val="24"/>
                <w:lang w:val="pt-PT"/>
              </w:rPr>
              <w:t>CNPE</w:t>
            </w:r>
          </w:p>
        </w:tc>
        <w:tc>
          <w:tcPr>
            <w:tcW w:w="6382" w:type="dxa"/>
          </w:tcPr>
          <w:p w:rsidR="00B946E6" w:rsidRPr="00A73DC3" w:rsidRDefault="00B946E6" w:rsidP="00E85793">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Conselho Nacional de Política Energética</w:t>
            </w:r>
          </w:p>
        </w:tc>
      </w:tr>
      <w:tr w:rsidR="007344AB" w:rsidRPr="00A73DC3" w:rsidTr="00E85793">
        <w:tc>
          <w:tcPr>
            <w:tcW w:w="1550" w:type="dxa"/>
          </w:tcPr>
          <w:p w:rsidR="007344AB" w:rsidRPr="00A73DC3" w:rsidRDefault="007344AB" w:rsidP="00E85793">
            <w:pPr>
              <w:spacing w:line="360" w:lineRule="auto"/>
              <w:rPr>
                <w:rFonts w:ascii="Times New Roman" w:hAnsi="Times New Roman" w:cs="Times New Roman"/>
                <w:b/>
                <w:caps/>
                <w:sz w:val="24"/>
                <w:szCs w:val="24"/>
                <w:lang w:val="pt-PT"/>
              </w:rPr>
            </w:pPr>
            <w:r>
              <w:rPr>
                <w:rFonts w:ascii="Times New Roman" w:hAnsi="Times New Roman" w:cs="Times New Roman"/>
                <w:b/>
                <w:caps/>
                <w:sz w:val="24"/>
                <w:szCs w:val="24"/>
                <w:lang w:val="pt-PT"/>
              </w:rPr>
              <w:t>DoE</w:t>
            </w:r>
          </w:p>
        </w:tc>
        <w:tc>
          <w:tcPr>
            <w:tcW w:w="6382" w:type="dxa"/>
          </w:tcPr>
          <w:p w:rsidR="007344AB" w:rsidRDefault="007344AB" w:rsidP="00E85793">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Departamento de Energia (EUA)</w:t>
            </w:r>
          </w:p>
        </w:tc>
      </w:tr>
      <w:tr w:rsidR="00580849" w:rsidRPr="0093452E" w:rsidTr="00E85793">
        <w:tc>
          <w:tcPr>
            <w:tcW w:w="1550" w:type="dxa"/>
          </w:tcPr>
          <w:p w:rsidR="00580849" w:rsidRDefault="00580849" w:rsidP="00E85793">
            <w:pPr>
              <w:spacing w:line="360" w:lineRule="auto"/>
              <w:rPr>
                <w:rFonts w:ascii="Times New Roman" w:hAnsi="Times New Roman" w:cs="Times New Roman"/>
                <w:b/>
                <w:caps/>
                <w:sz w:val="24"/>
                <w:szCs w:val="24"/>
                <w:lang w:val="pt-PT"/>
              </w:rPr>
            </w:pPr>
            <w:r>
              <w:rPr>
                <w:rFonts w:ascii="Times New Roman" w:hAnsi="Times New Roman" w:cs="Times New Roman"/>
                <w:b/>
                <w:caps/>
                <w:sz w:val="24"/>
                <w:szCs w:val="24"/>
                <w:lang w:val="pt-PT"/>
              </w:rPr>
              <w:t>eisa</w:t>
            </w:r>
          </w:p>
        </w:tc>
        <w:tc>
          <w:tcPr>
            <w:tcW w:w="6382" w:type="dxa"/>
          </w:tcPr>
          <w:p w:rsidR="00580849" w:rsidRPr="00580849" w:rsidRDefault="00580849" w:rsidP="00E85793">
            <w:pPr>
              <w:spacing w:line="360" w:lineRule="auto"/>
              <w:rPr>
                <w:rFonts w:ascii="Times New Roman" w:hAnsi="Times New Roman" w:cs="Times New Roman"/>
                <w:sz w:val="24"/>
                <w:szCs w:val="24"/>
                <w:lang w:val="en-US"/>
              </w:rPr>
            </w:pPr>
            <w:r w:rsidRPr="00580849">
              <w:rPr>
                <w:rFonts w:ascii="Times New Roman" w:hAnsi="Times New Roman" w:cs="Times New Roman"/>
                <w:sz w:val="24"/>
                <w:szCs w:val="24"/>
                <w:lang w:val="en-US"/>
              </w:rPr>
              <w:t>Energy Independence and Security Act (EUA)</w:t>
            </w:r>
          </w:p>
        </w:tc>
      </w:tr>
      <w:tr w:rsidR="00B946E6" w:rsidRPr="00A73DC3" w:rsidTr="00E85793">
        <w:tc>
          <w:tcPr>
            <w:tcW w:w="1550" w:type="dxa"/>
          </w:tcPr>
          <w:p w:rsidR="00B946E6" w:rsidRPr="00A73DC3" w:rsidRDefault="00B946E6" w:rsidP="00E85793">
            <w:pPr>
              <w:spacing w:line="360" w:lineRule="auto"/>
              <w:rPr>
                <w:rFonts w:ascii="Times New Roman" w:hAnsi="Times New Roman" w:cs="Times New Roman"/>
                <w:b/>
                <w:caps/>
                <w:sz w:val="24"/>
                <w:szCs w:val="24"/>
                <w:lang w:val="pt-PT"/>
              </w:rPr>
            </w:pPr>
            <w:r w:rsidRPr="00A73DC3">
              <w:rPr>
                <w:rFonts w:ascii="Times New Roman" w:hAnsi="Times New Roman" w:cs="Times New Roman"/>
                <w:b/>
                <w:caps/>
                <w:sz w:val="24"/>
                <w:szCs w:val="24"/>
                <w:lang w:val="pt-PT"/>
              </w:rPr>
              <w:t>EPE</w:t>
            </w:r>
          </w:p>
        </w:tc>
        <w:tc>
          <w:tcPr>
            <w:tcW w:w="6382" w:type="dxa"/>
          </w:tcPr>
          <w:p w:rsidR="00B946E6" w:rsidRPr="00A73DC3" w:rsidRDefault="00B946E6" w:rsidP="00E85793">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Empresa de Pesquisa Energética</w:t>
            </w:r>
          </w:p>
        </w:tc>
      </w:tr>
      <w:tr w:rsidR="00156268" w:rsidRPr="00A73DC3" w:rsidTr="00E85793">
        <w:tc>
          <w:tcPr>
            <w:tcW w:w="1550" w:type="dxa"/>
          </w:tcPr>
          <w:p w:rsidR="00156268" w:rsidRPr="00A73DC3" w:rsidRDefault="00156268" w:rsidP="00E85793">
            <w:pPr>
              <w:spacing w:line="360" w:lineRule="auto"/>
              <w:rPr>
                <w:rFonts w:ascii="Times New Roman" w:hAnsi="Times New Roman" w:cs="Times New Roman"/>
                <w:b/>
                <w:caps/>
                <w:sz w:val="24"/>
                <w:szCs w:val="24"/>
                <w:lang w:val="pt-PT"/>
              </w:rPr>
            </w:pPr>
            <w:r>
              <w:rPr>
                <w:rFonts w:ascii="Times New Roman" w:hAnsi="Times New Roman" w:cs="Times New Roman"/>
                <w:b/>
                <w:caps/>
                <w:sz w:val="24"/>
                <w:szCs w:val="24"/>
                <w:lang w:val="pt-PT"/>
              </w:rPr>
              <w:t>EPA</w:t>
            </w:r>
          </w:p>
        </w:tc>
        <w:tc>
          <w:tcPr>
            <w:tcW w:w="6382" w:type="dxa"/>
          </w:tcPr>
          <w:p w:rsidR="00156268" w:rsidRDefault="00156268" w:rsidP="00E85793">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Environmental Protection Agency</w:t>
            </w:r>
            <w:r w:rsidR="009073D5">
              <w:rPr>
                <w:rFonts w:ascii="Times New Roman" w:hAnsi="Times New Roman" w:cs="Times New Roman"/>
                <w:sz w:val="24"/>
                <w:szCs w:val="24"/>
                <w:lang w:val="pt-PT"/>
              </w:rPr>
              <w:t xml:space="preserve"> (EUA)</w:t>
            </w:r>
          </w:p>
        </w:tc>
      </w:tr>
      <w:tr w:rsidR="00B946E6" w:rsidRPr="00A73DC3" w:rsidTr="00E85793">
        <w:tc>
          <w:tcPr>
            <w:tcW w:w="1550" w:type="dxa"/>
          </w:tcPr>
          <w:p w:rsidR="00B946E6" w:rsidRPr="00A73DC3" w:rsidRDefault="00B946E6" w:rsidP="00E85793">
            <w:pPr>
              <w:spacing w:line="360" w:lineRule="auto"/>
              <w:rPr>
                <w:rFonts w:ascii="Times New Roman" w:hAnsi="Times New Roman" w:cs="Times New Roman"/>
                <w:b/>
                <w:caps/>
                <w:sz w:val="24"/>
                <w:szCs w:val="24"/>
                <w:lang w:val="pt-PT"/>
              </w:rPr>
            </w:pPr>
            <w:r>
              <w:rPr>
                <w:rFonts w:ascii="Times New Roman" w:hAnsi="Times New Roman" w:cs="Times New Roman"/>
                <w:b/>
                <w:caps/>
                <w:sz w:val="24"/>
                <w:szCs w:val="24"/>
                <w:lang w:val="pt-PT"/>
              </w:rPr>
              <w:t>EMbrapa</w:t>
            </w:r>
          </w:p>
        </w:tc>
        <w:tc>
          <w:tcPr>
            <w:tcW w:w="6382" w:type="dxa"/>
          </w:tcPr>
          <w:p w:rsidR="00B946E6" w:rsidRDefault="00B946E6" w:rsidP="00E85793">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Empresa Brasileira de Pesquisa Agropecuária</w:t>
            </w:r>
          </w:p>
        </w:tc>
      </w:tr>
      <w:tr w:rsidR="007344AB" w:rsidRPr="00A73DC3" w:rsidTr="00E85793">
        <w:tc>
          <w:tcPr>
            <w:tcW w:w="1550" w:type="dxa"/>
          </w:tcPr>
          <w:p w:rsidR="007344AB" w:rsidRDefault="007344AB" w:rsidP="00E85793">
            <w:pPr>
              <w:spacing w:line="360" w:lineRule="auto"/>
              <w:rPr>
                <w:rFonts w:ascii="Times New Roman" w:hAnsi="Times New Roman" w:cs="Times New Roman"/>
                <w:b/>
                <w:caps/>
                <w:sz w:val="24"/>
                <w:szCs w:val="24"/>
                <w:lang w:val="pt-PT"/>
              </w:rPr>
            </w:pPr>
            <w:r>
              <w:rPr>
                <w:rFonts w:ascii="Times New Roman" w:hAnsi="Times New Roman" w:cs="Times New Roman"/>
                <w:b/>
                <w:caps/>
                <w:sz w:val="24"/>
                <w:szCs w:val="24"/>
                <w:lang w:val="pt-PT"/>
              </w:rPr>
              <w:t>FAO</w:t>
            </w:r>
          </w:p>
        </w:tc>
        <w:tc>
          <w:tcPr>
            <w:tcW w:w="6382" w:type="dxa"/>
          </w:tcPr>
          <w:p w:rsidR="007344AB" w:rsidRDefault="007344AB" w:rsidP="00E85793">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Organização das Nações Unidas para Agricultura e Alimentação</w:t>
            </w:r>
          </w:p>
        </w:tc>
      </w:tr>
      <w:tr w:rsidR="00B946E6" w:rsidRPr="00A73DC3" w:rsidTr="00E85793">
        <w:tc>
          <w:tcPr>
            <w:tcW w:w="1550" w:type="dxa"/>
          </w:tcPr>
          <w:p w:rsidR="00B946E6" w:rsidRPr="007344AB" w:rsidRDefault="00B946E6" w:rsidP="00E85793">
            <w:pPr>
              <w:spacing w:line="360" w:lineRule="auto"/>
              <w:rPr>
                <w:rFonts w:ascii="Times New Roman" w:hAnsi="Times New Roman" w:cs="Times New Roman"/>
                <w:b/>
                <w:caps/>
                <w:sz w:val="24"/>
                <w:szCs w:val="24"/>
              </w:rPr>
            </w:pPr>
            <w:r w:rsidRPr="007344AB">
              <w:rPr>
                <w:rFonts w:ascii="Times New Roman" w:hAnsi="Times New Roman" w:cs="Times New Roman"/>
                <w:b/>
                <w:caps/>
                <w:sz w:val="24"/>
                <w:szCs w:val="24"/>
              </w:rPr>
              <w:t>FINEP</w:t>
            </w:r>
          </w:p>
        </w:tc>
        <w:tc>
          <w:tcPr>
            <w:tcW w:w="6382" w:type="dxa"/>
          </w:tcPr>
          <w:p w:rsidR="00B946E6" w:rsidRPr="00A73DC3" w:rsidRDefault="00B946E6" w:rsidP="00E85793">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Financiadora de Estudos e Projetos</w:t>
            </w:r>
          </w:p>
        </w:tc>
      </w:tr>
      <w:tr w:rsidR="00B946E6" w:rsidRPr="00A73DC3" w:rsidTr="00E85793">
        <w:tc>
          <w:tcPr>
            <w:tcW w:w="1550" w:type="dxa"/>
          </w:tcPr>
          <w:p w:rsidR="00B946E6" w:rsidRPr="007344AB" w:rsidRDefault="00B946E6" w:rsidP="00E85793">
            <w:pPr>
              <w:spacing w:line="360" w:lineRule="auto"/>
              <w:rPr>
                <w:rFonts w:ascii="Times New Roman" w:hAnsi="Times New Roman" w:cs="Times New Roman"/>
                <w:b/>
                <w:caps/>
                <w:sz w:val="24"/>
                <w:szCs w:val="24"/>
              </w:rPr>
            </w:pPr>
            <w:r w:rsidRPr="007344AB">
              <w:rPr>
                <w:rFonts w:ascii="Times New Roman" w:hAnsi="Times New Roman" w:cs="Times New Roman"/>
                <w:b/>
                <w:caps/>
                <w:sz w:val="24"/>
                <w:szCs w:val="24"/>
              </w:rPr>
              <w:t>GEE</w:t>
            </w:r>
          </w:p>
        </w:tc>
        <w:tc>
          <w:tcPr>
            <w:tcW w:w="6382" w:type="dxa"/>
          </w:tcPr>
          <w:p w:rsidR="00B946E6" w:rsidRPr="00A73DC3" w:rsidRDefault="00B946E6" w:rsidP="00E85793">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Gases de Efeito Estufa</w:t>
            </w:r>
          </w:p>
        </w:tc>
      </w:tr>
      <w:tr w:rsidR="00580849" w:rsidRPr="00A73DC3" w:rsidTr="00E85793">
        <w:tc>
          <w:tcPr>
            <w:tcW w:w="1550" w:type="dxa"/>
          </w:tcPr>
          <w:p w:rsidR="00580849" w:rsidRPr="007344AB" w:rsidRDefault="00580849" w:rsidP="00E85793">
            <w:pPr>
              <w:spacing w:line="360" w:lineRule="auto"/>
              <w:rPr>
                <w:rFonts w:ascii="Times New Roman" w:hAnsi="Times New Roman" w:cs="Times New Roman"/>
                <w:b/>
                <w:caps/>
                <w:sz w:val="24"/>
                <w:szCs w:val="24"/>
              </w:rPr>
            </w:pPr>
            <w:r>
              <w:rPr>
                <w:rFonts w:ascii="Times New Roman" w:hAnsi="Times New Roman" w:cs="Times New Roman"/>
                <w:b/>
                <w:caps/>
                <w:sz w:val="24"/>
                <w:szCs w:val="24"/>
              </w:rPr>
              <w:t>IAC</w:t>
            </w:r>
          </w:p>
        </w:tc>
        <w:tc>
          <w:tcPr>
            <w:tcW w:w="6382" w:type="dxa"/>
          </w:tcPr>
          <w:p w:rsidR="00580849" w:rsidRDefault="00580849" w:rsidP="00E85793">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Instituto Agronômico de Campinas</w:t>
            </w:r>
          </w:p>
        </w:tc>
      </w:tr>
      <w:tr w:rsidR="007344AB" w:rsidRPr="00A73DC3" w:rsidTr="00E85793">
        <w:tc>
          <w:tcPr>
            <w:tcW w:w="1550" w:type="dxa"/>
          </w:tcPr>
          <w:p w:rsidR="007344AB" w:rsidRPr="007344AB" w:rsidRDefault="007344AB" w:rsidP="00E85793">
            <w:pPr>
              <w:spacing w:line="360" w:lineRule="auto"/>
              <w:rPr>
                <w:rFonts w:ascii="Times New Roman" w:hAnsi="Times New Roman" w:cs="Times New Roman"/>
                <w:b/>
                <w:caps/>
                <w:sz w:val="24"/>
                <w:szCs w:val="24"/>
              </w:rPr>
            </w:pPr>
            <w:r w:rsidRPr="007344AB">
              <w:rPr>
                <w:rFonts w:ascii="Times New Roman" w:hAnsi="Times New Roman" w:cs="Times New Roman"/>
                <w:b/>
                <w:caps/>
                <w:sz w:val="24"/>
                <w:szCs w:val="24"/>
              </w:rPr>
              <w:t>IBGE</w:t>
            </w:r>
          </w:p>
        </w:tc>
        <w:tc>
          <w:tcPr>
            <w:tcW w:w="6382" w:type="dxa"/>
          </w:tcPr>
          <w:p w:rsidR="007344AB" w:rsidRDefault="007344AB" w:rsidP="00E85793">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Instituto Brasileiro de Geografia e Estatística</w:t>
            </w:r>
          </w:p>
        </w:tc>
      </w:tr>
      <w:tr w:rsidR="00B946E6" w:rsidRPr="00A73DC3" w:rsidTr="00E85793">
        <w:tc>
          <w:tcPr>
            <w:tcW w:w="1550" w:type="dxa"/>
          </w:tcPr>
          <w:p w:rsidR="00B946E6" w:rsidRPr="00FF5ACD" w:rsidRDefault="00B946E6" w:rsidP="00E85793">
            <w:pPr>
              <w:spacing w:line="360" w:lineRule="auto"/>
              <w:rPr>
                <w:rFonts w:ascii="Times New Roman" w:hAnsi="Times New Roman" w:cs="Times New Roman"/>
                <w:b/>
                <w:caps/>
                <w:sz w:val="24"/>
                <w:szCs w:val="24"/>
              </w:rPr>
            </w:pPr>
            <w:r>
              <w:rPr>
                <w:rFonts w:ascii="Times New Roman" w:hAnsi="Times New Roman" w:cs="Times New Roman"/>
                <w:b/>
                <w:caps/>
                <w:sz w:val="24"/>
                <w:szCs w:val="24"/>
              </w:rPr>
              <w:t>MAPA</w:t>
            </w:r>
          </w:p>
        </w:tc>
        <w:tc>
          <w:tcPr>
            <w:tcW w:w="6382" w:type="dxa"/>
          </w:tcPr>
          <w:p w:rsidR="00B946E6" w:rsidRPr="00A73DC3" w:rsidRDefault="00B946E6" w:rsidP="00E85793">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Ministério da Agricultura, Pecuária e Abastecimento</w:t>
            </w:r>
          </w:p>
        </w:tc>
      </w:tr>
      <w:tr w:rsidR="00B946E6" w:rsidRPr="00FF5ACD" w:rsidTr="00E85793">
        <w:tc>
          <w:tcPr>
            <w:tcW w:w="1550" w:type="dxa"/>
          </w:tcPr>
          <w:p w:rsidR="00B946E6" w:rsidRPr="00FF5ACD" w:rsidRDefault="00B946E6" w:rsidP="00E85793">
            <w:pPr>
              <w:spacing w:line="360" w:lineRule="auto"/>
              <w:rPr>
                <w:rFonts w:ascii="Times New Roman" w:hAnsi="Times New Roman" w:cs="Times New Roman"/>
                <w:b/>
                <w:caps/>
                <w:sz w:val="24"/>
                <w:szCs w:val="24"/>
              </w:rPr>
            </w:pPr>
            <w:r>
              <w:rPr>
                <w:rFonts w:ascii="Times New Roman" w:hAnsi="Times New Roman" w:cs="Times New Roman"/>
                <w:b/>
                <w:caps/>
                <w:sz w:val="24"/>
                <w:szCs w:val="24"/>
              </w:rPr>
              <w:t>MCTI</w:t>
            </w:r>
          </w:p>
        </w:tc>
        <w:tc>
          <w:tcPr>
            <w:tcW w:w="6382" w:type="dxa"/>
          </w:tcPr>
          <w:p w:rsidR="00B946E6" w:rsidRDefault="00B946E6" w:rsidP="00E85793">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Ministério da Ciência, Tecnologia e Inovação</w:t>
            </w:r>
          </w:p>
        </w:tc>
      </w:tr>
      <w:tr w:rsidR="00B946E6" w:rsidRPr="00FF5ACD" w:rsidTr="00E85793">
        <w:tc>
          <w:tcPr>
            <w:tcW w:w="1550" w:type="dxa"/>
          </w:tcPr>
          <w:p w:rsidR="00B946E6" w:rsidRPr="00A73DC3" w:rsidRDefault="00B946E6" w:rsidP="00E85793">
            <w:pPr>
              <w:spacing w:line="360" w:lineRule="auto"/>
              <w:rPr>
                <w:rFonts w:ascii="Times New Roman" w:hAnsi="Times New Roman" w:cs="Times New Roman"/>
                <w:b/>
                <w:caps/>
                <w:sz w:val="24"/>
                <w:szCs w:val="24"/>
                <w:lang w:val="en-US"/>
              </w:rPr>
            </w:pPr>
            <w:r w:rsidRPr="00A73DC3">
              <w:rPr>
                <w:rFonts w:ascii="Times New Roman" w:hAnsi="Times New Roman" w:cs="Times New Roman"/>
                <w:b/>
                <w:caps/>
                <w:sz w:val="24"/>
                <w:szCs w:val="24"/>
                <w:lang w:val="en-US"/>
              </w:rPr>
              <w:t>MDIC</w:t>
            </w:r>
          </w:p>
        </w:tc>
        <w:tc>
          <w:tcPr>
            <w:tcW w:w="6382" w:type="dxa"/>
          </w:tcPr>
          <w:p w:rsidR="00B946E6" w:rsidRPr="00A73DC3" w:rsidRDefault="00B946E6" w:rsidP="00E85793">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Ministério do Desenvolvimento, Indústria e Comércio Exterior</w:t>
            </w:r>
          </w:p>
        </w:tc>
      </w:tr>
      <w:tr w:rsidR="00B946E6" w:rsidRPr="00647FA4" w:rsidTr="00E85793">
        <w:tc>
          <w:tcPr>
            <w:tcW w:w="1550" w:type="dxa"/>
          </w:tcPr>
          <w:p w:rsidR="00B946E6" w:rsidRPr="00A73DC3" w:rsidRDefault="00B946E6" w:rsidP="00E85793">
            <w:pPr>
              <w:spacing w:line="360" w:lineRule="auto"/>
              <w:rPr>
                <w:rFonts w:ascii="Times New Roman" w:hAnsi="Times New Roman" w:cs="Times New Roman"/>
                <w:b/>
                <w:caps/>
                <w:sz w:val="24"/>
                <w:szCs w:val="24"/>
                <w:lang w:val="en-US"/>
              </w:rPr>
            </w:pPr>
            <w:r w:rsidRPr="00A73DC3">
              <w:rPr>
                <w:rFonts w:ascii="Times New Roman" w:hAnsi="Times New Roman" w:cs="Times New Roman"/>
                <w:b/>
                <w:caps/>
                <w:sz w:val="24"/>
                <w:szCs w:val="24"/>
                <w:lang w:val="en-US"/>
              </w:rPr>
              <w:t>MMA</w:t>
            </w:r>
          </w:p>
        </w:tc>
        <w:tc>
          <w:tcPr>
            <w:tcW w:w="6382" w:type="dxa"/>
          </w:tcPr>
          <w:p w:rsidR="00B946E6" w:rsidRPr="00A73DC3" w:rsidRDefault="00B946E6" w:rsidP="00E85793">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Ministério do Meio Ambiente</w:t>
            </w:r>
          </w:p>
        </w:tc>
      </w:tr>
      <w:tr w:rsidR="00B946E6" w:rsidRPr="00A73DC3" w:rsidTr="00E85793">
        <w:tc>
          <w:tcPr>
            <w:tcW w:w="1550" w:type="dxa"/>
          </w:tcPr>
          <w:p w:rsidR="00B946E6" w:rsidRPr="00A73DC3" w:rsidRDefault="00B946E6" w:rsidP="00E85793">
            <w:pPr>
              <w:spacing w:line="360" w:lineRule="auto"/>
              <w:rPr>
                <w:rFonts w:ascii="Times New Roman" w:hAnsi="Times New Roman" w:cs="Times New Roman"/>
                <w:b/>
                <w:caps/>
                <w:sz w:val="24"/>
                <w:szCs w:val="24"/>
                <w:lang w:val="en-US"/>
              </w:rPr>
            </w:pPr>
            <w:r w:rsidRPr="00A73DC3">
              <w:rPr>
                <w:rFonts w:ascii="Times New Roman" w:hAnsi="Times New Roman" w:cs="Times New Roman"/>
                <w:b/>
                <w:caps/>
                <w:sz w:val="24"/>
                <w:szCs w:val="24"/>
                <w:lang w:val="en-US"/>
              </w:rPr>
              <w:t>MME</w:t>
            </w:r>
          </w:p>
        </w:tc>
        <w:tc>
          <w:tcPr>
            <w:tcW w:w="6382" w:type="dxa"/>
          </w:tcPr>
          <w:p w:rsidR="00B946E6" w:rsidRPr="00A73DC3" w:rsidRDefault="00B946E6" w:rsidP="00E85793">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Ministério de Minas e Energia</w:t>
            </w:r>
          </w:p>
        </w:tc>
      </w:tr>
      <w:tr w:rsidR="00156268" w:rsidRPr="00A73DC3" w:rsidTr="00E85793">
        <w:tc>
          <w:tcPr>
            <w:tcW w:w="1550" w:type="dxa"/>
          </w:tcPr>
          <w:p w:rsidR="00156268" w:rsidRPr="00A73DC3" w:rsidRDefault="00156268" w:rsidP="00E85793">
            <w:pPr>
              <w:spacing w:line="360" w:lineRule="auto"/>
              <w:rPr>
                <w:rFonts w:ascii="Times New Roman" w:hAnsi="Times New Roman" w:cs="Times New Roman"/>
                <w:b/>
                <w:caps/>
                <w:sz w:val="24"/>
                <w:szCs w:val="24"/>
                <w:lang w:val="en-US"/>
              </w:rPr>
            </w:pPr>
            <w:r>
              <w:rPr>
                <w:rFonts w:ascii="Times New Roman" w:hAnsi="Times New Roman" w:cs="Times New Roman"/>
                <w:b/>
                <w:caps/>
                <w:sz w:val="24"/>
                <w:szCs w:val="24"/>
                <w:lang w:val="en-US"/>
              </w:rPr>
              <w:t>OCDE</w:t>
            </w:r>
          </w:p>
        </w:tc>
        <w:tc>
          <w:tcPr>
            <w:tcW w:w="6382" w:type="dxa"/>
          </w:tcPr>
          <w:p w:rsidR="00156268" w:rsidRDefault="00156268" w:rsidP="00E85793">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Organização para a Cooperação e Desenvolvimento Econômico</w:t>
            </w:r>
          </w:p>
        </w:tc>
      </w:tr>
      <w:tr w:rsidR="00B946E6" w:rsidRPr="00FF5ACD" w:rsidTr="00E85793">
        <w:tc>
          <w:tcPr>
            <w:tcW w:w="1550" w:type="dxa"/>
          </w:tcPr>
          <w:p w:rsidR="00580849" w:rsidRPr="00123088" w:rsidRDefault="00580849" w:rsidP="00E85793">
            <w:pPr>
              <w:spacing w:line="360" w:lineRule="auto"/>
              <w:rPr>
                <w:rFonts w:ascii="Times New Roman" w:hAnsi="Times New Roman" w:cs="Times New Roman"/>
                <w:b/>
                <w:caps/>
                <w:sz w:val="24"/>
                <w:szCs w:val="24"/>
              </w:rPr>
            </w:pPr>
          </w:p>
          <w:p w:rsidR="00B946E6" w:rsidRPr="00A73DC3" w:rsidRDefault="00B946E6" w:rsidP="00E85793">
            <w:pPr>
              <w:spacing w:line="360" w:lineRule="auto"/>
              <w:rPr>
                <w:rFonts w:ascii="Times New Roman" w:hAnsi="Times New Roman" w:cs="Times New Roman"/>
                <w:b/>
                <w:caps/>
                <w:sz w:val="24"/>
                <w:szCs w:val="24"/>
                <w:lang w:val="en-US"/>
              </w:rPr>
            </w:pPr>
            <w:r>
              <w:rPr>
                <w:rFonts w:ascii="Times New Roman" w:hAnsi="Times New Roman" w:cs="Times New Roman"/>
                <w:b/>
                <w:caps/>
                <w:sz w:val="24"/>
                <w:szCs w:val="24"/>
                <w:lang w:val="en-US"/>
              </w:rPr>
              <w:t>P&amp;D</w:t>
            </w:r>
          </w:p>
        </w:tc>
        <w:tc>
          <w:tcPr>
            <w:tcW w:w="6382" w:type="dxa"/>
          </w:tcPr>
          <w:p w:rsidR="00580849" w:rsidRDefault="00580849" w:rsidP="00E85793">
            <w:pPr>
              <w:spacing w:line="360" w:lineRule="auto"/>
              <w:rPr>
                <w:rFonts w:ascii="Times New Roman" w:hAnsi="Times New Roman" w:cs="Times New Roman"/>
                <w:sz w:val="24"/>
                <w:szCs w:val="24"/>
                <w:lang w:val="pt-PT"/>
              </w:rPr>
            </w:pPr>
          </w:p>
          <w:p w:rsidR="00B946E6" w:rsidRDefault="00B946E6" w:rsidP="00E85793">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Pesquisa e Desenvolvimento</w:t>
            </w:r>
          </w:p>
        </w:tc>
      </w:tr>
      <w:tr w:rsidR="007344AB" w:rsidRPr="00FF5ACD" w:rsidTr="00E85793">
        <w:tc>
          <w:tcPr>
            <w:tcW w:w="1550" w:type="dxa"/>
          </w:tcPr>
          <w:p w:rsidR="007344AB" w:rsidRDefault="007344AB" w:rsidP="00E85793">
            <w:pPr>
              <w:spacing w:line="360" w:lineRule="auto"/>
              <w:rPr>
                <w:rFonts w:ascii="Times New Roman" w:hAnsi="Times New Roman" w:cs="Times New Roman"/>
                <w:b/>
                <w:caps/>
                <w:sz w:val="24"/>
                <w:szCs w:val="24"/>
                <w:lang w:val="en-US"/>
              </w:rPr>
            </w:pPr>
            <w:r>
              <w:rPr>
                <w:rFonts w:ascii="Times New Roman" w:hAnsi="Times New Roman" w:cs="Times New Roman"/>
                <w:b/>
                <w:caps/>
                <w:sz w:val="24"/>
                <w:szCs w:val="24"/>
                <w:lang w:val="en-US"/>
              </w:rPr>
              <w:t>PAISS</w:t>
            </w:r>
          </w:p>
        </w:tc>
        <w:tc>
          <w:tcPr>
            <w:tcW w:w="6382" w:type="dxa"/>
          </w:tcPr>
          <w:p w:rsidR="007344AB" w:rsidRDefault="007344AB" w:rsidP="007344AB">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 xml:space="preserve">Plano </w:t>
            </w:r>
            <w:r w:rsidRPr="00393ED1">
              <w:rPr>
                <w:rFonts w:ascii="Times New Roman" w:hAnsi="Times New Roman" w:cs="Times New Roman"/>
                <w:sz w:val="24"/>
                <w:szCs w:val="24"/>
                <w:lang w:val="pt-PT"/>
              </w:rPr>
              <w:t>de Apoio à Inovação Tecnológica Industrial dos Setores Sucroen</w:t>
            </w:r>
            <w:r>
              <w:rPr>
                <w:rFonts w:ascii="Times New Roman" w:hAnsi="Times New Roman" w:cs="Times New Roman"/>
                <w:sz w:val="24"/>
                <w:szCs w:val="24"/>
                <w:lang w:val="pt-PT"/>
              </w:rPr>
              <w:t>ergético e Sucroquímico</w:t>
            </w:r>
          </w:p>
        </w:tc>
      </w:tr>
      <w:tr w:rsidR="007344AB" w:rsidRPr="00FF5ACD" w:rsidTr="00E85793">
        <w:tc>
          <w:tcPr>
            <w:tcW w:w="1550" w:type="dxa"/>
          </w:tcPr>
          <w:p w:rsidR="007344AB" w:rsidRDefault="007344AB" w:rsidP="00E85793">
            <w:pPr>
              <w:spacing w:line="360" w:lineRule="auto"/>
              <w:rPr>
                <w:rFonts w:ascii="Times New Roman" w:hAnsi="Times New Roman" w:cs="Times New Roman"/>
                <w:b/>
                <w:caps/>
                <w:sz w:val="24"/>
                <w:szCs w:val="24"/>
                <w:lang w:val="en-US"/>
              </w:rPr>
            </w:pPr>
            <w:r>
              <w:rPr>
                <w:rFonts w:ascii="Times New Roman" w:hAnsi="Times New Roman" w:cs="Times New Roman"/>
                <w:b/>
                <w:caps/>
                <w:sz w:val="24"/>
                <w:szCs w:val="24"/>
                <w:lang w:val="en-US"/>
              </w:rPr>
              <w:t>PBM</w:t>
            </w:r>
          </w:p>
        </w:tc>
        <w:tc>
          <w:tcPr>
            <w:tcW w:w="6382" w:type="dxa"/>
          </w:tcPr>
          <w:p w:rsidR="007344AB" w:rsidRDefault="007344AB" w:rsidP="00E85793">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Plano Brasil Maior</w:t>
            </w:r>
          </w:p>
        </w:tc>
      </w:tr>
      <w:tr w:rsidR="007344AB" w:rsidRPr="00FF5ACD" w:rsidTr="00E85793">
        <w:tc>
          <w:tcPr>
            <w:tcW w:w="1550" w:type="dxa"/>
          </w:tcPr>
          <w:p w:rsidR="007344AB" w:rsidRDefault="007344AB" w:rsidP="00E85793">
            <w:pPr>
              <w:spacing w:line="360" w:lineRule="auto"/>
              <w:rPr>
                <w:rFonts w:ascii="Times New Roman" w:hAnsi="Times New Roman" w:cs="Times New Roman"/>
                <w:b/>
                <w:caps/>
                <w:sz w:val="24"/>
                <w:szCs w:val="24"/>
                <w:lang w:val="en-US"/>
              </w:rPr>
            </w:pPr>
            <w:r>
              <w:rPr>
                <w:rFonts w:ascii="Times New Roman" w:hAnsi="Times New Roman" w:cs="Times New Roman"/>
                <w:b/>
                <w:caps/>
                <w:sz w:val="24"/>
                <w:szCs w:val="24"/>
                <w:lang w:val="en-US"/>
              </w:rPr>
              <w:t>PDE</w:t>
            </w:r>
          </w:p>
        </w:tc>
        <w:tc>
          <w:tcPr>
            <w:tcW w:w="6382" w:type="dxa"/>
          </w:tcPr>
          <w:p w:rsidR="007344AB" w:rsidRDefault="007344AB" w:rsidP="00E85793">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Plano Decenal de Expansão de Energia</w:t>
            </w:r>
          </w:p>
        </w:tc>
      </w:tr>
      <w:tr w:rsidR="00B946E6" w:rsidRPr="00FF5ACD" w:rsidTr="00E85793">
        <w:tc>
          <w:tcPr>
            <w:tcW w:w="1550" w:type="dxa"/>
          </w:tcPr>
          <w:p w:rsidR="00B946E6" w:rsidRDefault="00B946E6" w:rsidP="00E85793">
            <w:pPr>
              <w:spacing w:line="360" w:lineRule="auto"/>
              <w:rPr>
                <w:rFonts w:ascii="Times New Roman" w:hAnsi="Times New Roman" w:cs="Times New Roman"/>
                <w:b/>
                <w:caps/>
                <w:sz w:val="24"/>
                <w:szCs w:val="24"/>
                <w:lang w:val="en-US"/>
              </w:rPr>
            </w:pPr>
            <w:r>
              <w:rPr>
                <w:rFonts w:ascii="Times New Roman" w:hAnsi="Times New Roman" w:cs="Times New Roman"/>
                <w:b/>
                <w:caps/>
                <w:sz w:val="24"/>
                <w:szCs w:val="24"/>
                <w:lang w:val="en-US"/>
              </w:rPr>
              <w:t>PDP</w:t>
            </w:r>
          </w:p>
        </w:tc>
        <w:tc>
          <w:tcPr>
            <w:tcW w:w="6382" w:type="dxa"/>
          </w:tcPr>
          <w:p w:rsidR="00B946E6" w:rsidRDefault="00B946E6" w:rsidP="00E85793">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Política de Desenvolvimento Produtivo</w:t>
            </w:r>
          </w:p>
        </w:tc>
      </w:tr>
      <w:tr w:rsidR="00580849" w:rsidRPr="00FF5ACD" w:rsidTr="00E85793">
        <w:tc>
          <w:tcPr>
            <w:tcW w:w="1550" w:type="dxa"/>
          </w:tcPr>
          <w:p w:rsidR="00580849" w:rsidRDefault="00580849" w:rsidP="00E85793">
            <w:pPr>
              <w:spacing w:line="360" w:lineRule="auto"/>
              <w:rPr>
                <w:rFonts w:ascii="Times New Roman" w:hAnsi="Times New Roman" w:cs="Times New Roman"/>
                <w:b/>
                <w:caps/>
                <w:sz w:val="24"/>
                <w:szCs w:val="24"/>
                <w:lang w:val="en-US"/>
              </w:rPr>
            </w:pPr>
            <w:r>
              <w:rPr>
                <w:rFonts w:ascii="Times New Roman" w:hAnsi="Times New Roman" w:cs="Times New Roman"/>
                <w:b/>
                <w:caps/>
                <w:sz w:val="24"/>
                <w:szCs w:val="24"/>
                <w:lang w:val="en-US"/>
              </w:rPr>
              <w:t>PNMC</w:t>
            </w:r>
          </w:p>
        </w:tc>
        <w:tc>
          <w:tcPr>
            <w:tcW w:w="6382" w:type="dxa"/>
          </w:tcPr>
          <w:p w:rsidR="00580849" w:rsidRDefault="00580849" w:rsidP="00E85793">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Política Nacional de Mudanças Climáticas</w:t>
            </w:r>
          </w:p>
        </w:tc>
      </w:tr>
      <w:tr w:rsidR="00B946E6" w:rsidRPr="00FF5ACD" w:rsidTr="00E85793">
        <w:tc>
          <w:tcPr>
            <w:tcW w:w="1550" w:type="dxa"/>
          </w:tcPr>
          <w:p w:rsidR="00B946E6" w:rsidRPr="00A73DC3" w:rsidRDefault="00B946E6" w:rsidP="00E85793">
            <w:pPr>
              <w:spacing w:line="360" w:lineRule="auto"/>
              <w:rPr>
                <w:rFonts w:ascii="Times New Roman" w:hAnsi="Times New Roman" w:cs="Times New Roman"/>
                <w:b/>
                <w:caps/>
                <w:sz w:val="24"/>
                <w:szCs w:val="24"/>
                <w:lang w:val="en-US"/>
              </w:rPr>
            </w:pPr>
            <w:r>
              <w:rPr>
                <w:rFonts w:ascii="Times New Roman" w:hAnsi="Times New Roman" w:cs="Times New Roman"/>
                <w:b/>
                <w:caps/>
                <w:sz w:val="24"/>
                <w:szCs w:val="24"/>
                <w:lang w:val="en-US"/>
              </w:rPr>
              <w:t>PNPB</w:t>
            </w:r>
          </w:p>
        </w:tc>
        <w:tc>
          <w:tcPr>
            <w:tcW w:w="6382" w:type="dxa"/>
          </w:tcPr>
          <w:p w:rsidR="00B946E6" w:rsidRDefault="00B946E6" w:rsidP="00E85793">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Programa Nacional de Produção e Uso do Biodiesel</w:t>
            </w:r>
          </w:p>
        </w:tc>
      </w:tr>
      <w:tr w:rsidR="00580849" w:rsidRPr="00FF5ACD" w:rsidTr="00E85793">
        <w:tc>
          <w:tcPr>
            <w:tcW w:w="1550" w:type="dxa"/>
          </w:tcPr>
          <w:p w:rsidR="00580849" w:rsidRDefault="00580849" w:rsidP="00E85793">
            <w:pPr>
              <w:spacing w:line="360" w:lineRule="auto"/>
              <w:rPr>
                <w:rFonts w:ascii="Times New Roman" w:hAnsi="Times New Roman" w:cs="Times New Roman"/>
                <w:b/>
                <w:caps/>
                <w:sz w:val="24"/>
                <w:szCs w:val="24"/>
                <w:lang w:val="en-US"/>
              </w:rPr>
            </w:pPr>
            <w:r>
              <w:rPr>
                <w:rFonts w:ascii="Times New Roman" w:hAnsi="Times New Roman" w:cs="Times New Roman"/>
                <w:b/>
                <w:caps/>
                <w:sz w:val="24"/>
                <w:szCs w:val="24"/>
                <w:lang w:val="en-US"/>
              </w:rPr>
              <w:t>RFS</w:t>
            </w:r>
          </w:p>
        </w:tc>
        <w:tc>
          <w:tcPr>
            <w:tcW w:w="6382" w:type="dxa"/>
          </w:tcPr>
          <w:p w:rsidR="00580849" w:rsidRDefault="00580849" w:rsidP="00E85793">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Renewable Fuel Standard (EUA)</w:t>
            </w:r>
          </w:p>
        </w:tc>
      </w:tr>
      <w:tr w:rsidR="00580849" w:rsidRPr="00FF5ACD" w:rsidTr="00E85793">
        <w:tc>
          <w:tcPr>
            <w:tcW w:w="1550" w:type="dxa"/>
          </w:tcPr>
          <w:p w:rsidR="00580849" w:rsidRDefault="00580849" w:rsidP="00E85793">
            <w:pPr>
              <w:spacing w:line="360" w:lineRule="auto"/>
              <w:rPr>
                <w:rFonts w:ascii="Times New Roman" w:hAnsi="Times New Roman" w:cs="Times New Roman"/>
                <w:b/>
                <w:caps/>
                <w:sz w:val="24"/>
                <w:szCs w:val="24"/>
                <w:lang w:val="en-US"/>
              </w:rPr>
            </w:pPr>
            <w:r>
              <w:rPr>
                <w:rFonts w:ascii="Times New Roman" w:hAnsi="Times New Roman" w:cs="Times New Roman"/>
                <w:b/>
                <w:caps/>
                <w:sz w:val="24"/>
                <w:szCs w:val="24"/>
                <w:lang w:val="en-US"/>
              </w:rPr>
              <w:t>ridesa</w:t>
            </w:r>
          </w:p>
        </w:tc>
        <w:tc>
          <w:tcPr>
            <w:tcW w:w="6382" w:type="dxa"/>
          </w:tcPr>
          <w:p w:rsidR="00580849" w:rsidRDefault="00580849" w:rsidP="00E85793">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Rede Interuniversitária para o Desenvolvimento do Setor Sucroenergético</w:t>
            </w:r>
          </w:p>
        </w:tc>
      </w:tr>
      <w:tr w:rsidR="007344AB" w:rsidRPr="0093452E" w:rsidTr="00E85793">
        <w:tc>
          <w:tcPr>
            <w:tcW w:w="1550" w:type="dxa"/>
          </w:tcPr>
          <w:p w:rsidR="007344AB" w:rsidRDefault="007344AB" w:rsidP="00E85793">
            <w:pPr>
              <w:spacing w:line="360" w:lineRule="auto"/>
              <w:rPr>
                <w:rFonts w:ascii="Times New Roman" w:hAnsi="Times New Roman" w:cs="Times New Roman"/>
                <w:b/>
                <w:caps/>
                <w:sz w:val="24"/>
                <w:szCs w:val="24"/>
                <w:lang w:val="en-US"/>
              </w:rPr>
            </w:pPr>
            <w:r>
              <w:rPr>
                <w:rFonts w:ascii="Times New Roman" w:hAnsi="Times New Roman" w:cs="Times New Roman"/>
                <w:b/>
                <w:caps/>
                <w:sz w:val="24"/>
                <w:szCs w:val="24"/>
                <w:lang w:val="en-US"/>
              </w:rPr>
              <w:t>RIN</w:t>
            </w:r>
          </w:p>
          <w:p w:rsidR="0093452E" w:rsidRDefault="0093452E" w:rsidP="00E85793">
            <w:pPr>
              <w:spacing w:line="360" w:lineRule="auto"/>
              <w:rPr>
                <w:rFonts w:ascii="Times New Roman" w:hAnsi="Times New Roman" w:cs="Times New Roman"/>
                <w:b/>
                <w:caps/>
                <w:sz w:val="24"/>
                <w:szCs w:val="24"/>
                <w:lang w:val="en-US"/>
              </w:rPr>
            </w:pPr>
            <w:r>
              <w:rPr>
                <w:rFonts w:ascii="Times New Roman" w:hAnsi="Times New Roman" w:cs="Times New Roman"/>
                <w:b/>
                <w:caps/>
                <w:sz w:val="24"/>
                <w:szCs w:val="24"/>
                <w:lang w:val="en-US"/>
              </w:rPr>
              <w:t>SEBRAE</w:t>
            </w:r>
          </w:p>
        </w:tc>
        <w:tc>
          <w:tcPr>
            <w:tcW w:w="6382" w:type="dxa"/>
          </w:tcPr>
          <w:p w:rsidR="007344AB" w:rsidRPr="00995B01" w:rsidRDefault="007344AB" w:rsidP="00E85793">
            <w:pPr>
              <w:spacing w:line="360" w:lineRule="auto"/>
              <w:rPr>
                <w:rFonts w:ascii="Times New Roman" w:hAnsi="Times New Roman" w:cs="Times New Roman"/>
                <w:sz w:val="24"/>
                <w:szCs w:val="24"/>
              </w:rPr>
            </w:pPr>
            <w:r w:rsidRPr="00995B01">
              <w:rPr>
                <w:rFonts w:ascii="Times New Roman" w:hAnsi="Times New Roman" w:cs="Times New Roman"/>
                <w:sz w:val="24"/>
                <w:szCs w:val="24"/>
              </w:rPr>
              <w:t>Renewable Identification Number</w:t>
            </w:r>
            <w:r w:rsidR="009073D5" w:rsidRPr="00995B01">
              <w:rPr>
                <w:rFonts w:ascii="Times New Roman" w:hAnsi="Times New Roman" w:cs="Times New Roman"/>
                <w:sz w:val="24"/>
                <w:szCs w:val="24"/>
              </w:rPr>
              <w:t xml:space="preserve"> (EUA)</w:t>
            </w:r>
          </w:p>
          <w:p w:rsidR="0093452E" w:rsidRPr="0093452E" w:rsidRDefault="0093452E" w:rsidP="00E85793">
            <w:pPr>
              <w:spacing w:line="360" w:lineRule="auto"/>
              <w:rPr>
                <w:rFonts w:ascii="Times New Roman" w:hAnsi="Times New Roman" w:cs="Times New Roman"/>
                <w:sz w:val="24"/>
                <w:szCs w:val="24"/>
              </w:rPr>
            </w:pPr>
            <w:r w:rsidRPr="0093452E">
              <w:rPr>
                <w:rFonts w:ascii="Times New Roman" w:hAnsi="Times New Roman" w:cs="Times New Roman"/>
                <w:sz w:val="24"/>
                <w:szCs w:val="24"/>
              </w:rPr>
              <w:t>Serviço de Apoio às Micro e Pequenas Empresas</w:t>
            </w:r>
          </w:p>
        </w:tc>
      </w:tr>
      <w:tr w:rsidR="00156268" w:rsidRPr="00FF5ACD" w:rsidTr="00E85793">
        <w:tc>
          <w:tcPr>
            <w:tcW w:w="1550" w:type="dxa"/>
          </w:tcPr>
          <w:p w:rsidR="00156268" w:rsidRDefault="00156268" w:rsidP="00E85793">
            <w:pPr>
              <w:spacing w:line="360" w:lineRule="auto"/>
              <w:rPr>
                <w:rFonts w:ascii="Times New Roman" w:hAnsi="Times New Roman" w:cs="Times New Roman"/>
                <w:b/>
                <w:caps/>
                <w:sz w:val="24"/>
                <w:szCs w:val="24"/>
                <w:lang w:val="en-US"/>
              </w:rPr>
            </w:pPr>
            <w:r>
              <w:rPr>
                <w:rFonts w:ascii="Times New Roman" w:hAnsi="Times New Roman" w:cs="Times New Roman"/>
                <w:b/>
                <w:caps/>
                <w:sz w:val="24"/>
                <w:szCs w:val="24"/>
                <w:lang w:val="en-US"/>
              </w:rPr>
              <w:t>ubrabio</w:t>
            </w:r>
          </w:p>
        </w:tc>
        <w:tc>
          <w:tcPr>
            <w:tcW w:w="6382" w:type="dxa"/>
          </w:tcPr>
          <w:p w:rsidR="00156268" w:rsidRDefault="00156268" w:rsidP="00E85793">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União Brasileira do Biodiesel e do Bioquerosene</w:t>
            </w:r>
          </w:p>
        </w:tc>
      </w:tr>
      <w:tr w:rsidR="00156268" w:rsidRPr="00FF5ACD" w:rsidTr="00E85793">
        <w:tc>
          <w:tcPr>
            <w:tcW w:w="1550" w:type="dxa"/>
          </w:tcPr>
          <w:p w:rsidR="00156268" w:rsidRDefault="00156268" w:rsidP="00E85793">
            <w:pPr>
              <w:spacing w:line="360" w:lineRule="auto"/>
              <w:rPr>
                <w:rFonts w:ascii="Times New Roman" w:hAnsi="Times New Roman" w:cs="Times New Roman"/>
                <w:b/>
                <w:caps/>
                <w:sz w:val="24"/>
                <w:szCs w:val="24"/>
                <w:lang w:val="en-US"/>
              </w:rPr>
            </w:pPr>
            <w:r>
              <w:rPr>
                <w:rFonts w:ascii="Times New Roman" w:hAnsi="Times New Roman" w:cs="Times New Roman"/>
                <w:b/>
                <w:caps/>
                <w:sz w:val="24"/>
                <w:szCs w:val="24"/>
                <w:lang w:val="en-US"/>
              </w:rPr>
              <w:t>unica</w:t>
            </w:r>
          </w:p>
        </w:tc>
        <w:tc>
          <w:tcPr>
            <w:tcW w:w="6382" w:type="dxa"/>
          </w:tcPr>
          <w:p w:rsidR="00156268" w:rsidRDefault="00156268" w:rsidP="00E85793">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União da Indústria de Cana-de-Açúcar</w:t>
            </w:r>
          </w:p>
        </w:tc>
      </w:tr>
      <w:tr w:rsidR="007344AB" w:rsidRPr="00FF5ACD" w:rsidTr="00E85793">
        <w:tc>
          <w:tcPr>
            <w:tcW w:w="1550" w:type="dxa"/>
          </w:tcPr>
          <w:p w:rsidR="007344AB" w:rsidRDefault="007344AB" w:rsidP="00E85793">
            <w:pPr>
              <w:spacing w:line="360" w:lineRule="auto"/>
              <w:rPr>
                <w:rFonts w:ascii="Times New Roman" w:hAnsi="Times New Roman" w:cs="Times New Roman"/>
                <w:b/>
                <w:caps/>
                <w:sz w:val="24"/>
                <w:szCs w:val="24"/>
                <w:lang w:val="en-US"/>
              </w:rPr>
            </w:pPr>
            <w:r>
              <w:rPr>
                <w:rFonts w:ascii="Times New Roman" w:hAnsi="Times New Roman" w:cs="Times New Roman"/>
                <w:b/>
                <w:caps/>
                <w:sz w:val="24"/>
                <w:szCs w:val="24"/>
                <w:lang w:val="en-US"/>
              </w:rPr>
              <w:t>USDA</w:t>
            </w:r>
          </w:p>
        </w:tc>
        <w:tc>
          <w:tcPr>
            <w:tcW w:w="6382" w:type="dxa"/>
          </w:tcPr>
          <w:p w:rsidR="007344AB" w:rsidRDefault="007344AB" w:rsidP="00E85793">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Departamento de Agricultura (EUA)</w:t>
            </w:r>
          </w:p>
        </w:tc>
      </w:tr>
      <w:tr w:rsidR="00580849" w:rsidRPr="00FF5ACD" w:rsidTr="00E85793">
        <w:tc>
          <w:tcPr>
            <w:tcW w:w="1550" w:type="dxa"/>
          </w:tcPr>
          <w:p w:rsidR="00580849" w:rsidRDefault="00580849" w:rsidP="00E85793">
            <w:pPr>
              <w:spacing w:line="360" w:lineRule="auto"/>
              <w:rPr>
                <w:rFonts w:ascii="Times New Roman" w:hAnsi="Times New Roman" w:cs="Times New Roman"/>
                <w:b/>
                <w:caps/>
                <w:sz w:val="24"/>
                <w:szCs w:val="24"/>
                <w:lang w:val="en-US"/>
              </w:rPr>
            </w:pPr>
            <w:r>
              <w:rPr>
                <w:rFonts w:ascii="Times New Roman" w:hAnsi="Times New Roman" w:cs="Times New Roman"/>
                <w:b/>
                <w:caps/>
                <w:sz w:val="24"/>
                <w:szCs w:val="24"/>
                <w:lang w:val="en-US"/>
              </w:rPr>
              <w:t>ZAE</w:t>
            </w:r>
          </w:p>
        </w:tc>
        <w:tc>
          <w:tcPr>
            <w:tcW w:w="6382" w:type="dxa"/>
          </w:tcPr>
          <w:p w:rsidR="00580849" w:rsidRDefault="00580849" w:rsidP="00E85793">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Zoneamento Agroecológico da Cana</w:t>
            </w:r>
          </w:p>
        </w:tc>
      </w:tr>
      <w:tr w:rsidR="007344AB" w:rsidRPr="00FF5ACD" w:rsidTr="00E85793">
        <w:tc>
          <w:tcPr>
            <w:tcW w:w="1550" w:type="dxa"/>
          </w:tcPr>
          <w:p w:rsidR="007344AB" w:rsidRDefault="007344AB" w:rsidP="00E85793">
            <w:pPr>
              <w:spacing w:line="360" w:lineRule="auto"/>
              <w:rPr>
                <w:rFonts w:ascii="Times New Roman" w:hAnsi="Times New Roman" w:cs="Times New Roman"/>
                <w:b/>
                <w:caps/>
                <w:sz w:val="24"/>
                <w:szCs w:val="24"/>
                <w:lang w:val="en-US"/>
              </w:rPr>
            </w:pPr>
          </w:p>
        </w:tc>
        <w:tc>
          <w:tcPr>
            <w:tcW w:w="6382" w:type="dxa"/>
          </w:tcPr>
          <w:p w:rsidR="007344AB" w:rsidRDefault="007344AB" w:rsidP="00E85793">
            <w:pPr>
              <w:spacing w:line="360" w:lineRule="auto"/>
              <w:rPr>
                <w:rFonts w:ascii="Times New Roman" w:hAnsi="Times New Roman" w:cs="Times New Roman"/>
                <w:sz w:val="24"/>
                <w:szCs w:val="24"/>
                <w:lang w:val="pt-PT"/>
              </w:rPr>
            </w:pPr>
          </w:p>
        </w:tc>
      </w:tr>
      <w:tr w:rsidR="00B946E6" w:rsidRPr="00FF5ACD" w:rsidTr="00E85793">
        <w:tc>
          <w:tcPr>
            <w:tcW w:w="1550" w:type="dxa"/>
          </w:tcPr>
          <w:p w:rsidR="00B946E6" w:rsidRPr="00086495" w:rsidRDefault="00B946E6" w:rsidP="00E85793">
            <w:pPr>
              <w:spacing w:line="360" w:lineRule="auto"/>
              <w:rPr>
                <w:rFonts w:ascii="Times New Roman" w:hAnsi="Times New Roman" w:cs="Times New Roman"/>
                <w:b/>
                <w:caps/>
                <w:sz w:val="24"/>
                <w:szCs w:val="24"/>
              </w:rPr>
            </w:pPr>
          </w:p>
        </w:tc>
        <w:tc>
          <w:tcPr>
            <w:tcW w:w="6382" w:type="dxa"/>
          </w:tcPr>
          <w:p w:rsidR="00B946E6" w:rsidRDefault="00B946E6" w:rsidP="00E85793">
            <w:pPr>
              <w:spacing w:line="360" w:lineRule="auto"/>
              <w:rPr>
                <w:rFonts w:ascii="Times New Roman" w:hAnsi="Times New Roman" w:cs="Times New Roman"/>
                <w:sz w:val="24"/>
                <w:szCs w:val="24"/>
                <w:lang w:val="pt-PT"/>
              </w:rPr>
            </w:pPr>
          </w:p>
        </w:tc>
      </w:tr>
      <w:tr w:rsidR="00B946E6" w:rsidRPr="00FF5ACD" w:rsidTr="00E85793">
        <w:tc>
          <w:tcPr>
            <w:tcW w:w="1550" w:type="dxa"/>
          </w:tcPr>
          <w:p w:rsidR="00B946E6" w:rsidRPr="00086495" w:rsidRDefault="00B946E6" w:rsidP="00E85793">
            <w:pPr>
              <w:spacing w:line="360" w:lineRule="auto"/>
              <w:rPr>
                <w:rFonts w:ascii="Times New Roman" w:hAnsi="Times New Roman" w:cs="Times New Roman"/>
                <w:b/>
                <w:caps/>
                <w:sz w:val="24"/>
                <w:szCs w:val="24"/>
              </w:rPr>
            </w:pPr>
          </w:p>
        </w:tc>
        <w:tc>
          <w:tcPr>
            <w:tcW w:w="6382" w:type="dxa"/>
          </w:tcPr>
          <w:p w:rsidR="00B946E6" w:rsidRDefault="00B946E6" w:rsidP="00E85793">
            <w:pPr>
              <w:spacing w:line="360" w:lineRule="auto"/>
              <w:rPr>
                <w:rFonts w:ascii="Times New Roman" w:hAnsi="Times New Roman" w:cs="Times New Roman"/>
                <w:sz w:val="24"/>
                <w:szCs w:val="24"/>
                <w:lang w:val="pt-PT"/>
              </w:rPr>
            </w:pPr>
          </w:p>
        </w:tc>
      </w:tr>
    </w:tbl>
    <w:p w:rsidR="00085583" w:rsidRPr="006504A5" w:rsidRDefault="00085583" w:rsidP="00085583">
      <w:pPr>
        <w:rPr>
          <w:rFonts w:ascii="Times New Roman" w:hAnsi="Times New Roman" w:cs="Times New Roman"/>
          <w:sz w:val="24"/>
          <w:szCs w:val="24"/>
        </w:rPr>
      </w:pPr>
    </w:p>
    <w:p w:rsidR="00E02E73" w:rsidRPr="006504A5" w:rsidRDefault="00E02E73" w:rsidP="00CD5868">
      <w:pPr>
        <w:rPr>
          <w:rFonts w:ascii="Times New Roman" w:hAnsi="Times New Roman" w:cs="Times New Roman"/>
          <w:b/>
          <w:caps/>
          <w:sz w:val="24"/>
          <w:szCs w:val="24"/>
        </w:rPr>
      </w:pPr>
    </w:p>
    <w:p w:rsidR="00E02E73" w:rsidRPr="006504A5" w:rsidRDefault="00E02E73" w:rsidP="00CD5868">
      <w:pPr>
        <w:rPr>
          <w:rFonts w:ascii="Times New Roman" w:hAnsi="Times New Roman" w:cs="Times New Roman"/>
          <w:b/>
          <w:caps/>
          <w:sz w:val="24"/>
          <w:szCs w:val="24"/>
        </w:rPr>
      </w:pPr>
    </w:p>
    <w:p w:rsidR="00E02E73" w:rsidRPr="006504A5" w:rsidRDefault="00E02E73" w:rsidP="00CD5868">
      <w:pPr>
        <w:rPr>
          <w:rFonts w:ascii="Times New Roman" w:hAnsi="Times New Roman" w:cs="Times New Roman"/>
          <w:b/>
          <w:caps/>
          <w:sz w:val="24"/>
          <w:szCs w:val="24"/>
        </w:rPr>
      </w:pPr>
    </w:p>
    <w:p w:rsidR="00E02E73" w:rsidRPr="006504A5" w:rsidRDefault="00E02E73" w:rsidP="00CD5868">
      <w:pPr>
        <w:rPr>
          <w:rFonts w:ascii="Times New Roman" w:hAnsi="Times New Roman" w:cs="Times New Roman"/>
          <w:b/>
          <w:caps/>
          <w:sz w:val="24"/>
          <w:szCs w:val="24"/>
        </w:rPr>
      </w:pPr>
    </w:p>
    <w:p w:rsidR="00E02E73" w:rsidRPr="006504A5" w:rsidRDefault="00E02E73" w:rsidP="00CD5868">
      <w:pPr>
        <w:rPr>
          <w:rFonts w:ascii="Times New Roman" w:hAnsi="Times New Roman" w:cs="Times New Roman"/>
          <w:b/>
          <w:caps/>
          <w:sz w:val="24"/>
          <w:szCs w:val="24"/>
        </w:rPr>
      </w:pPr>
    </w:p>
    <w:p w:rsidR="0061490F" w:rsidRPr="006504A5" w:rsidRDefault="0061490F" w:rsidP="00CD5868">
      <w:pPr>
        <w:rPr>
          <w:rFonts w:ascii="Times New Roman" w:hAnsi="Times New Roman" w:cs="Times New Roman"/>
          <w:b/>
          <w:caps/>
          <w:sz w:val="24"/>
          <w:szCs w:val="24"/>
        </w:rPr>
      </w:pPr>
    </w:p>
    <w:p w:rsidR="0061490F" w:rsidRPr="006504A5" w:rsidRDefault="0061490F">
      <w:pPr>
        <w:rPr>
          <w:rFonts w:ascii="Times New Roman" w:hAnsi="Times New Roman" w:cs="Times New Roman"/>
          <w:b/>
          <w:caps/>
          <w:sz w:val="24"/>
          <w:szCs w:val="24"/>
        </w:rPr>
      </w:pPr>
      <w:r w:rsidRPr="006504A5">
        <w:rPr>
          <w:rFonts w:ascii="Times New Roman" w:hAnsi="Times New Roman" w:cs="Times New Roman"/>
          <w:b/>
          <w:caps/>
          <w:sz w:val="24"/>
          <w:szCs w:val="24"/>
        </w:rPr>
        <w:br w:type="page"/>
      </w:r>
    </w:p>
    <w:sdt>
      <w:sdtPr>
        <w:rPr>
          <w:rFonts w:asciiTheme="minorHAnsi" w:eastAsiaTheme="minorHAnsi" w:hAnsiTheme="minorHAnsi" w:cstheme="minorBidi"/>
          <w:b w:val="0"/>
          <w:bCs w:val="0"/>
          <w:caps w:val="0"/>
          <w:sz w:val="22"/>
          <w:szCs w:val="22"/>
        </w:rPr>
        <w:id w:val="132953657"/>
        <w:docPartObj>
          <w:docPartGallery w:val="Table of Contents"/>
          <w:docPartUnique/>
        </w:docPartObj>
      </w:sdtPr>
      <w:sdtContent>
        <w:p w:rsidR="004973EB" w:rsidRPr="00086495" w:rsidRDefault="004973EB" w:rsidP="004973EB">
          <w:pPr>
            <w:pStyle w:val="CabealhodoSumrio"/>
            <w:jc w:val="center"/>
            <w:rPr>
              <w:rFonts w:cs="Times New Roman"/>
              <w:caps w:val="0"/>
              <w:lang w:val="en-US"/>
            </w:rPr>
          </w:pPr>
          <w:r w:rsidRPr="00086495">
            <w:rPr>
              <w:rFonts w:cs="Times New Roman"/>
              <w:lang w:val="en-US"/>
            </w:rPr>
            <w:t>Sumário</w:t>
          </w:r>
        </w:p>
        <w:p w:rsidR="004973EB" w:rsidRDefault="004973EB" w:rsidP="004973EB">
          <w:pPr>
            <w:rPr>
              <w:rFonts w:ascii="Times New Roman" w:hAnsi="Times New Roman" w:cs="Times New Roman"/>
              <w:lang w:val="en-US"/>
            </w:rPr>
          </w:pPr>
        </w:p>
        <w:p w:rsidR="00995B01" w:rsidRPr="00086495" w:rsidRDefault="00995B01" w:rsidP="004973EB">
          <w:pPr>
            <w:rPr>
              <w:rFonts w:ascii="Times New Roman" w:hAnsi="Times New Roman" w:cs="Times New Roman"/>
              <w:lang w:val="en-US"/>
            </w:rPr>
          </w:pPr>
        </w:p>
        <w:p w:rsidR="00995B01" w:rsidRPr="00995B01" w:rsidRDefault="00EE56DA">
          <w:pPr>
            <w:pStyle w:val="Sumrio1"/>
            <w:rPr>
              <w:rStyle w:val="Hyperlink"/>
              <w:rFonts w:ascii="Times New Roman" w:hAnsi="Times New Roman"/>
            </w:rPr>
          </w:pPr>
          <w:r w:rsidRPr="00EE56DA">
            <w:rPr>
              <w:rFonts w:ascii="Times New Roman" w:hAnsi="Times New Roman"/>
            </w:rPr>
            <w:fldChar w:fldCharType="begin"/>
          </w:r>
          <w:r w:rsidR="004973EB" w:rsidRPr="00995B01">
            <w:rPr>
              <w:rFonts w:ascii="Times New Roman" w:hAnsi="Times New Roman"/>
            </w:rPr>
            <w:instrText xml:space="preserve"> TOC \o "1-3" \h \z \u </w:instrText>
          </w:r>
          <w:r w:rsidRPr="00EE56DA">
            <w:rPr>
              <w:rFonts w:ascii="Times New Roman" w:hAnsi="Times New Roman"/>
            </w:rPr>
            <w:fldChar w:fldCharType="separate"/>
          </w:r>
          <w:hyperlink w:anchor="_Toc333911330" w:history="1">
            <w:r w:rsidR="00995B01" w:rsidRPr="00995B01">
              <w:rPr>
                <w:rStyle w:val="Hyperlink"/>
                <w:rFonts w:ascii="Times New Roman" w:hAnsi="Times New Roman"/>
              </w:rPr>
              <w:t>Introdução</w:t>
            </w:r>
            <w:r w:rsidR="00995B01" w:rsidRPr="00995B01">
              <w:rPr>
                <w:rFonts w:ascii="Times New Roman" w:hAnsi="Times New Roman"/>
                <w:webHidden/>
              </w:rPr>
              <w:tab/>
            </w:r>
            <w:r w:rsidRPr="00995B01">
              <w:rPr>
                <w:rFonts w:ascii="Times New Roman" w:hAnsi="Times New Roman"/>
                <w:webHidden/>
              </w:rPr>
              <w:fldChar w:fldCharType="begin"/>
            </w:r>
            <w:r w:rsidR="00995B01" w:rsidRPr="00995B01">
              <w:rPr>
                <w:rFonts w:ascii="Times New Roman" w:hAnsi="Times New Roman"/>
                <w:webHidden/>
              </w:rPr>
              <w:instrText xml:space="preserve"> PAGEREF _Toc333911330 \h </w:instrText>
            </w:r>
            <w:r w:rsidRPr="00995B01">
              <w:rPr>
                <w:rFonts w:ascii="Times New Roman" w:hAnsi="Times New Roman"/>
                <w:webHidden/>
              </w:rPr>
            </w:r>
            <w:r w:rsidRPr="00995B01">
              <w:rPr>
                <w:rFonts w:ascii="Times New Roman" w:hAnsi="Times New Roman"/>
                <w:webHidden/>
              </w:rPr>
              <w:fldChar w:fldCharType="separate"/>
            </w:r>
            <w:r w:rsidR="00413A55">
              <w:rPr>
                <w:rFonts w:ascii="Times New Roman" w:hAnsi="Times New Roman"/>
                <w:webHidden/>
              </w:rPr>
              <w:t>11</w:t>
            </w:r>
            <w:r w:rsidRPr="00995B01">
              <w:rPr>
                <w:rFonts w:ascii="Times New Roman" w:hAnsi="Times New Roman"/>
                <w:webHidden/>
              </w:rPr>
              <w:fldChar w:fldCharType="end"/>
            </w:r>
          </w:hyperlink>
        </w:p>
        <w:p w:rsidR="00995B01" w:rsidRPr="00995B01" w:rsidRDefault="00995B01" w:rsidP="00995B01">
          <w:pPr>
            <w:rPr>
              <w:rFonts w:ascii="Times New Roman" w:hAnsi="Times New Roman" w:cs="Times New Roman"/>
              <w:noProof/>
              <w:lang w:val="pt-PT"/>
            </w:rPr>
          </w:pPr>
        </w:p>
        <w:p w:rsidR="00995B01" w:rsidRDefault="00EE56DA">
          <w:pPr>
            <w:pStyle w:val="Sumrio1"/>
            <w:rPr>
              <w:rStyle w:val="Hyperlink"/>
              <w:rFonts w:ascii="Times New Roman" w:hAnsi="Times New Roman"/>
            </w:rPr>
          </w:pPr>
          <w:hyperlink w:anchor="_Toc333911331" w:history="1">
            <w:r w:rsidR="00995B01" w:rsidRPr="00995B01">
              <w:rPr>
                <w:rStyle w:val="Hyperlink"/>
                <w:rFonts w:ascii="Times New Roman" w:hAnsi="Times New Roman"/>
              </w:rPr>
              <w:t>CAPÍTULO 1: a regulação econômica sob a perspectiva evolucionária</w:t>
            </w:r>
            <w:r w:rsidR="00995B01" w:rsidRPr="00995B01">
              <w:rPr>
                <w:rFonts w:ascii="Times New Roman" w:hAnsi="Times New Roman"/>
                <w:webHidden/>
              </w:rPr>
              <w:tab/>
            </w:r>
            <w:r w:rsidRPr="00995B01">
              <w:rPr>
                <w:rFonts w:ascii="Times New Roman" w:hAnsi="Times New Roman"/>
                <w:webHidden/>
              </w:rPr>
              <w:fldChar w:fldCharType="begin"/>
            </w:r>
            <w:r w:rsidR="00995B01" w:rsidRPr="00995B01">
              <w:rPr>
                <w:rFonts w:ascii="Times New Roman" w:hAnsi="Times New Roman"/>
                <w:webHidden/>
              </w:rPr>
              <w:instrText xml:space="preserve"> PAGEREF _Toc333911331 \h </w:instrText>
            </w:r>
            <w:r w:rsidRPr="00995B01">
              <w:rPr>
                <w:rFonts w:ascii="Times New Roman" w:hAnsi="Times New Roman"/>
                <w:webHidden/>
              </w:rPr>
            </w:r>
            <w:r w:rsidRPr="00995B01">
              <w:rPr>
                <w:rFonts w:ascii="Times New Roman" w:hAnsi="Times New Roman"/>
                <w:webHidden/>
              </w:rPr>
              <w:fldChar w:fldCharType="separate"/>
            </w:r>
            <w:r w:rsidR="00413A55">
              <w:rPr>
                <w:rFonts w:ascii="Times New Roman" w:hAnsi="Times New Roman"/>
                <w:webHidden/>
              </w:rPr>
              <w:t>17</w:t>
            </w:r>
            <w:r w:rsidRPr="00995B01">
              <w:rPr>
                <w:rFonts w:ascii="Times New Roman" w:hAnsi="Times New Roman"/>
                <w:webHidden/>
              </w:rPr>
              <w:fldChar w:fldCharType="end"/>
            </w:r>
          </w:hyperlink>
        </w:p>
        <w:p w:rsidR="00995B01" w:rsidRPr="00995B01" w:rsidRDefault="00995B01" w:rsidP="00995B01">
          <w:pPr>
            <w:rPr>
              <w:noProof/>
              <w:lang w:val="pt-PT"/>
            </w:rPr>
          </w:pPr>
        </w:p>
        <w:p w:rsidR="00995B01" w:rsidRPr="00995B01" w:rsidRDefault="00EE56DA">
          <w:pPr>
            <w:pStyle w:val="Sumrio2"/>
            <w:tabs>
              <w:tab w:val="right" w:leader="dot" w:pos="9061"/>
            </w:tabs>
            <w:rPr>
              <w:rFonts w:ascii="Times New Roman" w:hAnsi="Times New Roman" w:cs="Times New Roman"/>
              <w:noProof/>
              <w:lang w:eastAsia="pt-BR"/>
            </w:rPr>
          </w:pPr>
          <w:hyperlink w:anchor="_Toc333911332" w:history="1">
            <w:r w:rsidR="00995B01" w:rsidRPr="00995B01">
              <w:rPr>
                <w:rStyle w:val="Hyperlink"/>
                <w:rFonts w:ascii="Times New Roman" w:hAnsi="Times New Roman" w:cs="Times New Roman"/>
                <w:noProof/>
              </w:rPr>
              <w:t>1.1 A Intervenção governamental no sistema econômico</w:t>
            </w:r>
            <w:r w:rsidR="00995B01" w:rsidRPr="00995B01">
              <w:rPr>
                <w:rFonts w:ascii="Times New Roman" w:hAnsi="Times New Roman" w:cs="Times New Roman"/>
                <w:noProof/>
                <w:webHidden/>
              </w:rPr>
              <w:tab/>
            </w:r>
            <w:r w:rsidRPr="00995B01">
              <w:rPr>
                <w:rFonts w:ascii="Times New Roman" w:hAnsi="Times New Roman" w:cs="Times New Roman"/>
                <w:noProof/>
                <w:webHidden/>
              </w:rPr>
              <w:fldChar w:fldCharType="begin"/>
            </w:r>
            <w:r w:rsidR="00995B01" w:rsidRPr="00995B01">
              <w:rPr>
                <w:rFonts w:ascii="Times New Roman" w:hAnsi="Times New Roman" w:cs="Times New Roman"/>
                <w:noProof/>
                <w:webHidden/>
              </w:rPr>
              <w:instrText xml:space="preserve"> PAGEREF _Toc333911332 \h </w:instrText>
            </w:r>
            <w:r w:rsidRPr="00995B01">
              <w:rPr>
                <w:rFonts w:ascii="Times New Roman" w:hAnsi="Times New Roman" w:cs="Times New Roman"/>
                <w:noProof/>
                <w:webHidden/>
              </w:rPr>
            </w:r>
            <w:r w:rsidRPr="00995B01">
              <w:rPr>
                <w:rFonts w:ascii="Times New Roman" w:hAnsi="Times New Roman" w:cs="Times New Roman"/>
                <w:noProof/>
                <w:webHidden/>
              </w:rPr>
              <w:fldChar w:fldCharType="separate"/>
            </w:r>
            <w:r w:rsidR="00413A55">
              <w:rPr>
                <w:rFonts w:ascii="Times New Roman" w:hAnsi="Times New Roman" w:cs="Times New Roman"/>
                <w:noProof/>
                <w:webHidden/>
              </w:rPr>
              <w:t>17</w:t>
            </w:r>
            <w:r w:rsidRPr="00995B01">
              <w:rPr>
                <w:rFonts w:ascii="Times New Roman" w:hAnsi="Times New Roman" w:cs="Times New Roman"/>
                <w:noProof/>
                <w:webHidden/>
              </w:rPr>
              <w:fldChar w:fldCharType="end"/>
            </w:r>
          </w:hyperlink>
        </w:p>
        <w:p w:rsidR="00995B01" w:rsidRPr="00995B01" w:rsidRDefault="00EE56DA">
          <w:pPr>
            <w:pStyle w:val="Sumrio2"/>
            <w:tabs>
              <w:tab w:val="right" w:leader="dot" w:pos="9061"/>
            </w:tabs>
            <w:rPr>
              <w:rFonts w:ascii="Times New Roman" w:hAnsi="Times New Roman" w:cs="Times New Roman"/>
              <w:noProof/>
              <w:lang w:eastAsia="pt-BR"/>
            </w:rPr>
          </w:pPr>
          <w:hyperlink w:anchor="_Toc333911333" w:history="1">
            <w:r w:rsidR="00995B01" w:rsidRPr="00995B01">
              <w:rPr>
                <w:rStyle w:val="Hyperlink"/>
                <w:rFonts w:ascii="Times New Roman" w:hAnsi="Times New Roman" w:cs="Times New Roman"/>
                <w:noProof/>
              </w:rPr>
              <w:t>1.2 Regulação e políticas públicas setoriais: a busca da ação governamental coordenada</w:t>
            </w:r>
            <w:r w:rsidR="00995B01" w:rsidRPr="00995B01">
              <w:rPr>
                <w:rFonts w:ascii="Times New Roman" w:hAnsi="Times New Roman" w:cs="Times New Roman"/>
                <w:noProof/>
                <w:webHidden/>
              </w:rPr>
              <w:tab/>
            </w:r>
            <w:r w:rsidRPr="00995B01">
              <w:rPr>
                <w:rFonts w:ascii="Times New Roman" w:hAnsi="Times New Roman" w:cs="Times New Roman"/>
                <w:noProof/>
                <w:webHidden/>
              </w:rPr>
              <w:fldChar w:fldCharType="begin"/>
            </w:r>
            <w:r w:rsidR="00995B01" w:rsidRPr="00995B01">
              <w:rPr>
                <w:rFonts w:ascii="Times New Roman" w:hAnsi="Times New Roman" w:cs="Times New Roman"/>
                <w:noProof/>
                <w:webHidden/>
              </w:rPr>
              <w:instrText xml:space="preserve"> PAGEREF _Toc333911333 \h </w:instrText>
            </w:r>
            <w:r w:rsidRPr="00995B01">
              <w:rPr>
                <w:rFonts w:ascii="Times New Roman" w:hAnsi="Times New Roman" w:cs="Times New Roman"/>
                <w:noProof/>
                <w:webHidden/>
              </w:rPr>
            </w:r>
            <w:r w:rsidRPr="00995B01">
              <w:rPr>
                <w:rFonts w:ascii="Times New Roman" w:hAnsi="Times New Roman" w:cs="Times New Roman"/>
                <w:noProof/>
                <w:webHidden/>
              </w:rPr>
              <w:fldChar w:fldCharType="separate"/>
            </w:r>
            <w:r w:rsidR="00413A55">
              <w:rPr>
                <w:rFonts w:ascii="Times New Roman" w:hAnsi="Times New Roman" w:cs="Times New Roman"/>
                <w:noProof/>
                <w:webHidden/>
              </w:rPr>
              <w:t>22</w:t>
            </w:r>
            <w:r w:rsidRPr="00995B01">
              <w:rPr>
                <w:rFonts w:ascii="Times New Roman" w:hAnsi="Times New Roman" w:cs="Times New Roman"/>
                <w:noProof/>
                <w:webHidden/>
              </w:rPr>
              <w:fldChar w:fldCharType="end"/>
            </w:r>
          </w:hyperlink>
        </w:p>
        <w:p w:rsidR="00995B01" w:rsidRPr="00995B01" w:rsidRDefault="00EE56DA">
          <w:pPr>
            <w:pStyle w:val="Sumrio2"/>
            <w:tabs>
              <w:tab w:val="right" w:leader="dot" w:pos="9061"/>
            </w:tabs>
            <w:rPr>
              <w:rFonts w:ascii="Times New Roman" w:hAnsi="Times New Roman" w:cs="Times New Roman"/>
              <w:noProof/>
              <w:lang w:eastAsia="pt-BR"/>
            </w:rPr>
          </w:pPr>
          <w:hyperlink w:anchor="_Toc333911334" w:history="1">
            <w:r w:rsidR="00995B01" w:rsidRPr="00995B01">
              <w:rPr>
                <w:rStyle w:val="Hyperlink"/>
                <w:rFonts w:ascii="Times New Roman" w:hAnsi="Times New Roman" w:cs="Times New Roman"/>
                <w:noProof/>
              </w:rPr>
              <w:t>1.3 Dinâmica industrial e de inovação</w:t>
            </w:r>
            <w:r w:rsidR="00995B01" w:rsidRPr="00995B01">
              <w:rPr>
                <w:rFonts w:ascii="Times New Roman" w:hAnsi="Times New Roman" w:cs="Times New Roman"/>
                <w:noProof/>
                <w:webHidden/>
              </w:rPr>
              <w:tab/>
            </w:r>
            <w:r w:rsidRPr="00995B01">
              <w:rPr>
                <w:rFonts w:ascii="Times New Roman" w:hAnsi="Times New Roman" w:cs="Times New Roman"/>
                <w:noProof/>
                <w:webHidden/>
              </w:rPr>
              <w:fldChar w:fldCharType="begin"/>
            </w:r>
            <w:r w:rsidR="00995B01" w:rsidRPr="00995B01">
              <w:rPr>
                <w:rFonts w:ascii="Times New Roman" w:hAnsi="Times New Roman" w:cs="Times New Roman"/>
                <w:noProof/>
                <w:webHidden/>
              </w:rPr>
              <w:instrText xml:space="preserve"> PAGEREF _Toc333911334 \h </w:instrText>
            </w:r>
            <w:r w:rsidRPr="00995B01">
              <w:rPr>
                <w:rFonts w:ascii="Times New Roman" w:hAnsi="Times New Roman" w:cs="Times New Roman"/>
                <w:noProof/>
                <w:webHidden/>
              </w:rPr>
            </w:r>
            <w:r w:rsidRPr="00995B01">
              <w:rPr>
                <w:rFonts w:ascii="Times New Roman" w:hAnsi="Times New Roman" w:cs="Times New Roman"/>
                <w:noProof/>
                <w:webHidden/>
              </w:rPr>
              <w:fldChar w:fldCharType="separate"/>
            </w:r>
            <w:r w:rsidR="00413A55">
              <w:rPr>
                <w:rFonts w:ascii="Times New Roman" w:hAnsi="Times New Roman" w:cs="Times New Roman"/>
                <w:noProof/>
                <w:webHidden/>
              </w:rPr>
              <w:t>24</w:t>
            </w:r>
            <w:r w:rsidRPr="00995B01">
              <w:rPr>
                <w:rFonts w:ascii="Times New Roman" w:hAnsi="Times New Roman" w:cs="Times New Roman"/>
                <w:noProof/>
                <w:webHidden/>
              </w:rPr>
              <w:fldChar w:fldCharType="end"/>
            </w:r>
          </w:hyperlink>
        </w:p>
        <w:p w:rsidR="00995B01" w:rsidRPr="00995B01" w:rsidRDefault="00EE56DA">
          <w:pPr>
            <w:pStyle w:val="Sumrio2"/>
            <w:tabs>
              <w:tab w:val="right" w:leader="dot" w:pos="9061"/>
            </w:tabs>
            <w:rPr>
              <w:rFonts w:ascii="Times New Roman" w:hAnsi="Times New Roman" w:cs="Times New Roman"/>
              <w:noProof/>
              <w:lang w:eastAsia="pt-BR"/>
            </w:rPr>
          </w:pPr>
          <w:hyperlink w:anchor="_Toc333911335" w:history="1">
            <w:r w:rsidR="00995B01" w:rsidRPr="00995B01">
              <w:rPr>
                <w:rStyle w:val="Hyperlink"/>
                <w:rFonts w:ascii="Times New Roman" w:hAnsi="Times New Roman" w:cs="Times New Roman"/>
                <w:noProof/>
              </w:rPr>
              <w:t>1.4 O papel das instituições na mudança tecnológica</w:t>
            </w:r>
            <w:r w:rsidR="00995B01" w:rsidRPr="00995B01">
              <w:rPr>
                <w:rFonts w:ascii="Times New Roman" w:hAnsi="Times New Roman" w:cs="Times New Roman"/>
                <w:noProof/>
                <w:webHidden/>
              </w:rPr>
              <w:tab/>
            </w:r>
            <w:r w:rsidRPr="00995B01">
              <w:rPr>
                <w:rFonts w:ascii="Times New Roman" w:hAnsi="Times New Roman" w:cs="Times New Roman"/>
                <w:noProof/>
                <w:webHidden/>
              </w:rPr>
              <w:fldChar w:fldCharType="begin"/>
            </w:r>
            <w:r w:rsidR="00995B01" w:rsidRPr="00995B01">
              <w:rPr>
                <w:rFonts w:ascii="Times New Roman" w:hAnsi="Times New Roman" w:cs="Times New Roman"/>
                <w:noProof/>
                <w:webHidden/>
              </w:rPr>
              <w:instrText xml:space="preserve"> PAGEREF _Toc333911335 \h </w:instrText>
            </w:r>
            <w:r w:rsidRPr="00995B01">
              <w:rPr>
                <w:rFonts w:ascii="Times New Roman" w:hAnsi="Times New Roman" w:cs="Times New Roman"/>
                <w:noProof/>
                <w:webHidden/>
              </w:rPr>
            </w:r>
            <w:r w:rsidRPr="00995B01">
              <w:rPr>
                <w:rFonts w:ascii="Times New Roman" w:hAnsi="Times New Roman" w:cs="Times New Roman"/>
                <w:noProof/>
                <w:webHidden/>
              </w:rPr>
              <w:fldChar w:fldCharType="separate"/>
            </w:r>
            <w:r w:rsidR="00413A55">
              <w:rPr>
                <w:rFonts w:ascii="Times New Roman" w:hAnsi="Times New Roman" w:cs="Times New Roman"/>
                <w:noProof/>
                <w:webHidden/>
              </w:rPr>
              <w:t>27</w:t>
            </w:r>
            <w:r w:rsidRPr="00995B01">
              <w:rPr>
                <w:rFonts w:ascii="Times New Roman" w:hAnsi="Times New Roman" w:cs="Times New Roman"/>
                <w:noProof/>
                <w:webHidden/>
              </w:rPr>
              <w:fldChar w:fldCharType="end"/>
            </w:r>
          </w:hyperlink>
        </w:p>
        <w:p w:rsidR="00995B01" w:rsidRPr="00995B01" w:rsidRDefault="00EE56DA">
          <w:pPr>
            <w:pStyle w:val="Sumrio2"/>
            <w:tabs>
              <w:tab w:val="right" w:leader="dot" w:pos="9061"/>
            </w:tabs>
            <w:rPr>
              <w:rFonts w:ascii="Times New Roman" w:hAnsi="Times New Roman" w:cs="Times New Roman"/>
              <w:noProof/>
              <w:lang w:eastAsia="pt-BR"/>
            </w:rPr>
          </w:pPr>
          <w:hyperlink w:anchor="_Toc333911336" w:history="1">
            <w:r w:rsidR="00995B01" w:rsidRPr="00995B01">
              <w:rPr>
                <w:rStyle w:val="Hyperlink"/>
                <w:rFonts w:ascii="Times New Roman" w:hAnsi="Times New Roman" w:cs="Times New Roman"/>
                <w:noProof/>
                <w:lang w:val="pt-PT"/>
              </w:rPr>
              <w:t>1.5 Coevolução das tecnologias sociais e tecnologias físicas</w:t>
            </w:r>
            <w:r w:rsidR="00995B01" w:rsidRPr="00995B01">
              <w:rPr>
                <w:rFonts w:ascii="Times New Roman" w:hAnsi="Times New Roman" w:cs="Times New Roman"/>
                <w:noProof/>
                <w:webHidden/>
              </w:rPr>
              <w:tab/>
            </w:r>
            <w:r w:rsidRPr="00995B01">
              <w:rPr>
                <w:rFonts w:ascii="Times New Roman" w:hAnsi="Times New Roman" w:cs="Times New Roman"/>
                <w:noProof/>
                <w:webHidden/>
              </w:rPr>
              <w:fldChar w:fldCharType="begin"/>
            </w:r>
            <w:r w:rsidR="00995B01" w:rsidRPr="00995B01">
              <w:rPr>
                <w:rFonts w:ascii="Times New Roman" w:hAnsi="Times New Roman" w:cs="Times New Roman"/>
                <w:noProof/>
                <w:webHidden/>
              </w:rPr>
              <w:instrText xml:space="preserve"> PAGEREF _Toc333911336 \h </w:instrText>
            </w:r>
            <w:r w:rsidRPr="00995B01">
              <w:rPr>
                <w:rFonts w:ascii="Times New Roman" w:hAnsi="Times New Roman" w:cs="Times New Roman"/>
                <w:noProof/>
                <w:webHidden/>
              </w:rPr>
            </w:r>
            <w:r w:rsidRPr="00995B01">
              <w:rPr>
                <w:rFonts w:ascii="Times New Roman" w:hAnsi="Times New Roman" w:cs="Times New Roman"/>
                <w:noProof/>
                <w:webHidden/>
              </w:rPr>
              <w:fldChar w:fldCharType="separate"/>
            </w:r>
            <w:r w:rsidR="00413A55">
              <w:rPr>
                <w:rFonts w:ascii="Times New Roman" w:hAnsi="Times New Roman" w:cs="Times New Roman"/>
                <w:noProof/>
                <w:webHidden/>
              </w:rPr>
              <w:t>32</w:t>
            </w:r>
            <w:r w:rsidRPr="00995B01">
              <w:rPr>
                <w:rFonts w:ascii="Times New Roman" w:hAnsi="Times New Roman" w:cs="Times New Roman"/>
                <w:noProof/>
                <w:webHidden/>
              </w:rPr>
              <w:fldChar w:fldCharType="end"/>
            </w:r>
          </w:hyperlink>
        </w:p>
        <w:p w:rsidR="00995B01" w:rsidRPr="00995B01" w:rsidRDefault="00EE56DA">
          <w:pPr>
            <w:pStyle w:val="Sumrio2"/>
            <w:tabs>
              <w:tab w:val="right" w:leader="dot" w:pos="9061"/>
            </w:tabs>
            <w:rPr>
              <w:rFonts w:ascii="Times New Roman" w:hAnsi="Times New Roman" w:cs="Times New Roman"/>
              <w:noProof/>
              <w:lang w:eastAsia="pt-BR"/>
            </w:rPr>
          </w:pPr>
          <w:hyperlink w:anchor="_Toc333911337" w:history="1">
            <w:r w:rsidR="00995B01" w:rsidRPr="00995B01">
              <w:rPr>
                <w:rStyle w:val="Hyperlink"/>
                <w:rFonts w:ascii="Times New Roman" w:hAnsi="Times New Roman" w:cs="Times New Roman"/>
                <w:noProof/>
                <w:lang w:val="pt-PT"/>
              </w:rPr>
              <w:t>1.6 A adaptação regulatória como capacitação</w:t>
            </w:r>
            <w:r w:rsidR="00995B01" w:rsidRPr="00995B01">
              <w:rPr>
                <w:rFonts w:ascii="Times New Roman" w:hAnsi="Times New Roman" w:cs="Times New Roman"/>
                <w:noProof/>
                <w:webHidden/>
              </w:rPr>
              <w:tab/>
            </w:r>
            <w:r w:rsidRPr="00995B01">
              <w:rPr>
                <w:rFonts w:ascii="Times New Roman" w:hAnsi="Times New Roman" w:cs="Times New Roman"/>
                <w:noProof/>
                <w:webHidden/>
              </w:rPr>
              <w:fldChar w:fldCharType="begin"/>
            </w:r>
            <w:r w:rsidR="00995B01" w:rsidRPr="00995B01">
              <w:rPr>
                <w:rFonts w:ascii="Times New Roman" w:hAnsi="Times New Roman" w:cs="Times New Roman"/>
                <w:noProof/>
                <w:webHidden/>
              </w:rPr>
              <w:instrText xml:space="preserve"> PAGEREF _Toc333911337 \h </w:instrText>
            </w:r>
            <w:r w:rsidRPr="00995B01">
              <w:rPr>
                <w:rFonts w:ascii="Times New Roman" w:hAnsi="Times New Roman" w:cs="Times New Roman"/>
                <w:noProof/>
                <w:webHidden/>
              </w:rPr>
            </w:r>
            <w:r w:rsidRPr="00995B01">
              <w:rPr>
                <w:rFonts w:ascii="Times New Roman" w:hAnsi="Times New Roman" w:cs="Times New Roman"/>
                <w:noProof/>
                <w:webHidden/>
              </w:rPr>
              <w:fldChar w:fldCharType="separate"/>
            </w:r>
            <w:r w:rsidR="00413A55">
              <w:rPr>
                <w:rFonts w:ascii="Times New Roman" w:hAnsi="Times New Roman" w:cs="Times New Roman"/>
                <w:noProof/>
                <w:webHidden/>
              </w:rPr>
              <w:t>35</w:t>
            </w:r>
            <w:r w:rsidRPr="00995B01">
              <w:rPr>
                <w:rFonts w:ascii="Times New Roman" w:hAnsi="Times New Roman" w:cs="Times New Roman"/>
                <w:noProof/>
                <w:webHidden/>
              </w:rPr>
              <w:fldChar w:fldCharType="end"/>
            </w:r>
          </w:hyperlink>
        </w:p>
        <w:p w:rsidR="00995B01" w:rsidRPr="00995B01" w:rsidRDefault="00EE56DA">
          <w:pPr>
            <w:pStyle w:val="Sumrio2"/>
            <w:tabs>
              <w:tab w:val="right" w:leader="dot" w:pos="9061"/>
            </w:tabs>
            <w:rPr>
              <w:rStyle w:val="Hyperlink"/>
              <w:rFonts w:ascii="Times New Roman" w:hAnsi="Times New Roman" w:cs="Times New Roman"/>
              <w:noProof/>
            </w:rPr>
          </w:pPr>
          <w:hyperlink w:anchor="_Toc333911338" w:history="1">
            <w:r w:rsidR="00995B01" w:rsidRPr="00995B01">
              <w:rPr>
                <w:rStyle w:val="Hyperlink"/>
                <w:rFonts w:ascii="Times New Roman" w:hAnsi="Times New Roman" w:cs="Times New Roman"/>
                <w:noProof/>
              </w:rPr>
              <w:t>1.7 Conclusões</w:t>
            </w:r>
            <w:r w:rsidR="00995B01" w:rsidRPr="00995B01">
              <w:rPr>
                <w:rFonts w:ascii="Times New Roman" w:hAnsi="Times New Roman" w:cs="Times New Roman"/>
                <w:noProof/>
                <w:webHidden/>
              </w:rPr>
              <w:tab/>
            </w:r>
            <w:r w:rsidRPr="00995B01">
              <w:rPr>
                <w:rFonts w:ascii="Times New Roman" w:hAnsi="Times New Roman" w:cs="Times New Roman"/>
                <w:noProof/>
                <w:webHidden/>
              </w:rPr>
              <w:fldChar w:fldCharType="begin"/>
            </w:r>
            <w:r w:rsidR="00995B01" w:rsidRPr="00995B01">
              <w:rPr>
                <w:rFonts w:ascii="Times New Roman" w:hAnsi="Times New Roman" w:cs="Times New Roman"/>
                <w:noProof/>
                <w:webHidden/>
              </w:rPr>
              <w:instrText xml:space="preserve"> PAGEREF _Toc333911338 \h </w:instrText>
            </w:r>
            <w:r w:rsidRPr="00995B01">
              <w:rPr>
                <w:rFonts w:ascii="Times New Roman" w:hAnsi="Times New Roman" w:cs="Times New Roman"/>
                <w:noProof/>
                <w:webHidden/>
              </w:rPr>
            </w:r>
            <w:r w:rsidRPr="00995B01">
              <w:rPr>
                <w:rFonts w:ascii="Times New Roman" w:hAnsi="Times New Roman" w:cs="Times New Roman"/>
                <w:noProof/>
                <w:webHidden/>
              </w:rPr>
              <w:fldChar w:fldCharType="separate"/>
            </w:r>
            <w:r w:rsidR="00413A55">
              <w:rPr>
                <w:rFonts w:ascii="Times New Roman" w:hAnsi="Times New Roman" w:cs="Times New Roman"/>
                <w:noProof/>
                <w:webHidden/>
              </w:rPr>
              <w:t>38</w:t>
            </w:r>
            <w:r w:rsidRPr="00995B01">
              <w:rPr>
                <w:rFonts w:ascii="Times New Roman" w:hAnsi="Times New Roman" w:cs="Times New Roman"/>
                <w:noProof/>
                <w:webHidden/>
              </w:rPr>
              <w:fldChar w:fldCharType="end"/>
            </w:r>
          </w:hyperlink>
        </w:p>
        <w:p w:rsidR="00995B01" w:rsidRPr="00995B01" w:rsidRDefault="00995B01" w:rsidP="00995B01">
          <w:pPr>
            <w:rPr>
              <w:rFonts w:ascii="Times New Roman" w:hAnsi="Times New Roman" w:cs="Times New Roman"/>
              <w:noProof/>
            </w:rPr>
          </w:pPr>
        </w:p>
        <w:p w:rsidR="00995B01" w:rsidRDefault="00EE56DA">
          <w:pPr>
            <w:pStyle w:val="Sumrio1"/>
            <w:rPr>
              <w:rStyle w:val="Hyperlink"/>
              <w:rFonts w:ascii="Times New Roman" w:hAnsi="Times New Roman"/>
            </w:rPr>
          </w:pPr>
          <w:hyperlink w:anchor="_Toc333911339" w:history="1">
            <w:r w:rsidR="00995B01" w:rsidRPr="00995B01">
              <w:rPr>
                <w:rStyle w:val="Hyperlink"/>
                <w:rFonts w:ascii="Times New Roman" w:hAnsi="Times New Roman"/>
              </w:rPr>
              <w:t>CAPÍTULO 2: uma indústria em transformação</w:t>
            </w:r>
            <w:r w:rsidR="00995B01" w:rsidRPr="00995B01">
              <w:rPr>
                <w:rFonts w:ascii="Times New Roman" w:hAnsi="Times New Roman"/>
                <w:webHidden/>
              </w:rPr>
              <w:tab/>
            </w:r>
            <w:r w:rsidRPr="00995B01">
              <w:rPr>
                <w:rFonts w:ascii="Times New Roman" w:hAnsi="Times New Roman"/>
                <w:webHidden/>
              </w:rPr>
              <w:fldChar w:fldCharType="begin"/>
            </w:r>
            <w:r w:rsidR="00995B01" w:rsidRPr="00995B01">
              <w:rPr>
                <w:rFonts w:ascii="Times New Roman" w:hAnsi="Times New Roman"/>
                <w:webHidden/>
              </w:rPr>
              <w:instrText xml:space="preserve"> PAGEREF _Toc333911339 \h </w:instrText>
            </w:r>
            <w:r w:rsidRPr="00995B01">
              <w:rPr>
                <w:rFonts w:ascii="Times New Roman" w:hAnsi="Times New Roman"/>
                <w:webHidden/>
              </w:rPr>
            </w:r>
            <w:r w:rsidRPr="00995B01">
              <w:rPr>
                <w:rFonts w:ascii="Times New Roman" w:hAnsi="Times New Roman"/>
                <w:webHidden/>
              </w:rPr>
              <w:fldChar w:fldCharType="separate"/>
            </w:r>
            <w:r w:rsidR="00413A55">
              <w:rPr>
                <w:rFonts w:ascii="Times New Roman" w:hAnsi="Times New Roman"/>
                <w:webHidden/>
              </w:rPr>
              <w:t>40</w:t>
            </w:r>
            <w:r w:rsidRPr="00995B01">
              <w:rPr>
                <w:rFonts w:ascii="Times New Roman" w:hAnsi="Times New Roman"/>
                <w:webHidden/>
              </w:rPr>
              <w:fldChar w:fldCharType="end"/>
            </w:r>
          </w:hyperlink>
        </w:p>
        <w:p w:rsidR="00995B01" w:rsidRPr="00995B01" w:rsidRDefault="00995B01" w:rsidP="00995B01">
          <w:pPr>
            <w:rPr>
              <w:noProof/>
              <w:lang w:val="pt-PT"/>
            </w:rPr>
          </w:pPr>
        </w:p>
        <w:p w:rsidR="00995B01" w:rsidRPr="00995B01" w:rsidRDefault="00EE56DA">
          <w:pPr>
            <w:pStyle w:val="Sumrio2"/>
            <w:tabs>
              <w:tab w:val="right" w:leader="dot" w:pos="9061"/>
            </w:tabs>
            <w:rPr>
              <w:rFonts w:ascii="Times New Roman" w:hAnsi="Times New Roman" w:cs="Times New Roman"/>
              <w:noProof/>
              <w:lang w:eastAsia="pt-BR"/>
            </w:rPr>
          </w:pPr>
          <w:hyperlink w:anchor="_Toc333911340" w:history="1">
            <w:r w:rsidR="00995B01" w:rsidRPr="00995B01">
              <w:rPr>
                <w:rStyle w:val="Hyperlink"/>
                <w:rFonts w:ascii="Times New Roman" w:hAnsi="Times New Roman" w:cs="Times New Roman"/>
                <w:noProof/>
              </w:rPr>
              <w:t>2.1 Estrutura atual da indústria de biocombustíveis</w:t>
            </w:r>
            <w:r w:rsidR="00995B01" w:rsidRPr="00995B01">
              <w:rPr>
                <w:rFonts w:ascii="Times New Roman" w:hAnsi="Times New Roman" w:cs="Times New Roman"/>
                <w:noProof/>
                <w:webHidden/>
              </w:rPr>
              <w:tab/>
            </w:r>
            <w:r w:rsidRPr="00995B01">
              <w:rPr>
                <w:rFonts w:ascii="Times New Roman" w:hAnsi="Times New Roman" w:cs="Times New Roman"/>
                <w:noProof/>
                <w:webHidden/>
              </w:rPr>
              <w:fldChar w:fldCharType="begin"/>
            </w:r>
            <w:r w:rsidR="00995B01" w:rsidRPr="00995B01">
              <w:rPr>
                <w:rFonts w:ascii="Times New Roman" w:hAnsi="Times New Roman" w:cs="Times New Roman"/>
                <w:noProof/>
                <w:webHidden/>
              </w:rPr>
              <w:instrText xml:space="preserve"> PAGEREF _Toc333911340 \h </w:instrText>
            </w:r>
            <w:r w:rsidRPr="00995B01">
              <w:rPr>
                <w:rFonts w:ascii="Times New Roman" w:hAnsi="Times New Roman" w:cs="Times New Roman"/>
                <w:noProof/>
                <w:webHidden/>
              </w:rPr>
            </w:r>
            <w:r w:rsidRPr="00995B01">
              <w:rPr>
                <w:rFonts w:ascii="Times New Roman" w:hAnsi="Times New Roman" w:cs="Times New Roman"/>
                <w:noProof/>
                <w:webHidden/>
              </w:rPr>
              <w:fldChar w:fldCharType="separate"/>
            </w:r>
            <w:r w:rsidR="00413A55">
              <w:rPr>
                <w:rFonts w:ascii="Times New Roman" w:hAnsi="Times New Roman" w:cs="Times New Roman"/>
                <w:noProof/>
                <w:webHidden/>
              </w:rPr>
              <w:t>41</w:t>
            </w:r>
            <w:r w:rsidRPr="00995B01">
              <w:rPr>
                <w:rFonts w:ascii="Times New Roman" w:hAnsi="Times New Roman" w:cs="Times New Roman"/>
                <w:noProof/>
                <w:webHidden/>
              </w:rPr>
              <w:fldChar w:fldCharType="end"/>
            </w:r>
          </w:hyperlink>
        </w:p>
        <w:p w:rsidR="00995B01" w:rsidRPr="00995B01" w:rsidRDefault="00EE56DA">
          <w:pPr>
            <w:pStyle w:val="Sumrio3"/>
            <w:tabs>
              <w:tab w:val="right" w:leader="dot" w:pos="9061"/>
            </w:tabs>
            <w:rPr>
              <w:rFonts w:ascii="Times New Roman" w:hAnsi="Times New Roman" w:cs="Times New Roman"/>
              <w:noProof/>
              <w:lang w:eastAsia="pt-BR"/>
            </w:rPr>
          </w:pPr>
          <w:hyperlink w:anchor="_Toc333911342" w:history="1">
            <w:r w:rsidR="00995B01" w:rsidRPr="00995B01">
              <w:rPr>
                <w:rStyle w:val="Hyperlink"/>
                <w:rFonts w:ascii="Times New Roman" w:hAnsi="Times New Roman" w:cs="Times New Roman"/>
                <w:noProof/>
              </w:rPr>
              <w:t>2.1.1 Estrutura atual da indústria de etanol</w:t>
            </w:r>
            <w:r w:rsidR="00995B01" w:rsidRPr="00995B01">
              <w:rPr>
                <w:rFonts w:ascii="Times New Roman" w:hAnsi="Times New Roman" w:cs="Times New Roman"/>
                <w:noProof/>
                <w:webHidden/>
              </w:rPr>
              <w:tab/>
            </w:r>
            <w:r w:rsidRPr="00995B01">
              <w:rPr>
                <w:rFonts w:ascii="Times New Roman" w:hAnsi="Times New Roman" w:cs="Times New Roman"/>
                <w:noProof/>
                <w:webHidden/>
              </w:rPr>
              <w:fldChar w:fldCharType="begin"/>
            </w:r>
            <w:r w:rsidR="00995B01" w:rsidRPr="00995B01">
              <w:rPr>
                <w:rFonts w:ascii="Times New Roman" w:hAnsi="Times New Roman" w:cs="Times New Roman"/>
                <w:noProof/>
                <w:webHidden/>
              </w:rPr>
              <w:instrText xml:space="preserve"> PAGEREF _Toc333911342 \h </w:instrText>
            </w:r>
            <w:r w:rsidRPr="00995B01">
              <w:rPr>
                <w:rFonts w:ascii="Times New Roman" w:hAnsi="Times New Roman" w:cs="Times New Roman"/>
                <w:noProof/>
                <w:webHidden/>
              </w:rPr>
            </w:r>
            <w:r w:rsidRPr="00995B01">
              <w:rPr>
                <w:rFonts w:ascii="Times New Roman" w:hAnsi="Times New Roman" w:cs="Times New Roman"/>
                <w:noProof/>
                <w:webHidden/>
              </w:rPr>
              <w:fldChar w:fldCharType="separate"/>
            </w:r>
            <w:r w:rsidR="00413A55">
              <w:rPr>
                <w:rFonts w:ascii="Times New Roman" w:hAnsi="Times New Roman" w:cs="Times New Roman"/>
                <w:noProof/>
                <w:webHidden/>
              </w:rPr>
              <w:t>43</w:t>
            </w:r>
            <w:r w:rsidRPr="00995B01">
              <w:rPr>
                <w:rFonts w:ascii="Times New Roman" w:hAnsi="Times New Roman" w:cs="Times New Roman"/>
                <w:noProof/>
                <w:webHidden/>
              </w:rPr>
              <w:fldChar w:fldCharType="end"/>
            </w:r>
          </w:hyperlink>
        </w:p>
        <w:p w:rsidR="00995B01" w:rsidRPr="00995B01" w:rsidRDefault="00EE56DA">
          <w:pPr>
            <w:pStyle w:val="Sumrio3"/>
            <w:tabs>
              <w:tab w:val="right" w:leader="dot" w:pos="9061"/>
            </w:tabs>
            <w:rPr>
              <w:rFonts w:ascii="Times New Roman" w:hAnsi="Times New Roman" w:cs="Times New Roman"/>
              <w:noProof/>
              <w:lang w:eastAsia="pt-BR"/>
            </w:rPr>
          </w:pPr>
          <w:hyperlink w:anchor="_Toc333911345" w:history="1">
            <w:r w:rsidR="00995B01" w:rsidRPr="00995B01">
              <w:rPr>
                <w:rStyle w:val="Hyperlink"/>
                <w:rFonts w:ascii="Times New Roman" w:hAnsi="Times New Roman" w:cs="Times New Roman"/>
                <w:noProof/>
              </w:rPr>
              <w:t>2.1.2 Estrutura atual da indústria de biodiesel</w:t>
            </w:r>
            <w:r w:rsidR="00995B01" w:rsidRPr="00995B01">
              <w:rPr>
                <w:rFonts w:ascii="Times New Roman" w:hAnsi="Times New Roman" w:cs="Times New Roman"/>
                <w:noProof/>
                <w:webHidden/>
              </w:rPr>
              <w:tab/>
            </w:r>
            <w:r w:rsidRPr="00995B01">
              <w:rPr>
                <w:rFonts w:ascii="Times New Roman" w:hAnsi="Times New Roman" w:cs="Times New Roman"/>
                <w:noProof/>
                <w:webHidden/>
              </w:rPr>
              <w:fldChar w:fldCharType="begin"/>
            </w:r>
            <w:r w:rsidR="00995B01" w:rsidRPr="00995B01">
              <w:rPr>
                <w:rFonts w:ascii="Times New Roman" w:hAnsi="Times New Roman" w:cs="Times New Roman"/>
                <w:noProof/>
                <w:webHidden/>
              </w:rPr>
              <w:instrText xml:space="preserve"> PAGEREF _Toc333911345 \h </w:instrText>
            </w:r>
            <w:r w:rsidRPr="00995B01">
              <w:rPr>
                <w:rFonts w:ascii="Times New Roman" w:hAnsi="Times New Roman" w:cs="Times New Roman"/>
                <w:noProof/>
                <w:webHidden/>
              </w:rPr>
            </w:r>
            <w:r w:rsidRPr="00995B01">
              <w:rPr>
                <w:rFonts w:ascii="Times New Roman" w:hAnsi="Times New Roman" w:cs="Times New Roman"/>
                <w:noProof/>
                <w:webHidden/>
              </w:rPr>
              <w:fldChar w:fldCharType="separate"/>
            </w:r>
            <w:r w:rsidR="00413A55">
              <w:rPr>
                <w:rFonts w:ascii="Times New Roman" w:hAnsi="Times New Roman" w:cs="Times New Roman"/>
                <w:noProof/>
                <w:webHidden/>
              </w:rPr>
              <w:t>50</w:t>
            </w:r>
            <w:r w:rsidRPr="00995B01">
              <w:rPr>
                <w:rFonts w:ascii="Times New Roman" w:hAnsi="Times New Roman" w:cs="Times New Roman"/>
                <w:noProof/>
                <w:webHidden/>
              </w:rPr>
              <w:fldChar w:fldCharType="end"/>
            </w:r>
          </w:hyperlink>
        </w:p>
        <w:p w:rsidR="00995B01" w:rsidRPr="00995B01" w:rsidRDefault="00EE56DA">
          <w:pPr>
            <w:pStyle w:val="Sumrio2"/>
            <w:tabs>
              <w:tab w:val="right" w:leader="dot" w:pos="9061"/>
            </w:tabs>
            <w:rPr>
              <w:rFonts w:ascii="Times New Roman" w:hAnsi="Times New Roman" w:cs="Times New Roman"/>
              <w:noProof/>
              <w:lang w:eastAsia="pt-BR"/>
            </w:rPr>
          </w:pPr>
          <w:hyperlink w:anchor="_Toc333911349" w:history="1">
            <w:r w:rsidR="00995B01" w:rsidRPr="00995B01">
              <w:rPr>
                <w:rStyle w:val="Hyperlink"/>
                <w:rFonts w:ascii="Times New Roman" w:hAnsi="Times New Roman" w:cs="Times New Roman"/>
                <w:noProof/>
              </w:rPr>
              <w:t>2.2 Biocombustíveis e o meio ambiente: solução ou problema?</w:t>
            </w:r>
            <w:r w:rsidR="00995B01" w:rsidRPr="00995B01">
              <w:rPr>
                <w:rFonts w:ascii="Times New Roman" w:hAnsi="Times New Roman" w:cs="Times New Roman"/>
                <w:noProof/>
                <w:webHidden/>
              </w:rPr>
              <w:tab/>
            </w:r>
            <w:r w:rsidRPr="00995B01">
              <w:rPr>
                <w:rFonts w:ascii="Times New Roman" w:hAnsi="Times New Roman" w:cs="Times New Roman"/>
                <w:noProof/>
                <w:webHidden/>
              </w:rPr>
              <w:fldChar w:fldCharType="begin"/>
            </w:r>
            <w:r w:rsidR="00995B01" w:rsidRPr="00995B01">
              <w:rPr>
                <w:rFonts w:ascii="Times New Roman" w:hAnsi="Times New Roman" w:cs="Times New Roman"/>
                <w:noProof/>
                <w:webHidden/>
              </w:rPr>
              <w:instrText xml:space="preserve"> PAGEREF _Toc333911349 \h </w:instrText>
            </w:r>
            <w:r w:rsidRPr="00995B01">
              <w:rPr>
                <w:rFonts w:ascii="Times New Roman" w:hAnsi="Times New Roman" w:cs="Times New Roman"/>
                <w:noProof/>
                <w:webHidden/>
              </w:rPr>
            </w:r>
            <w:r w:rsidRPr="00995B01">
              <w:rPr>
                <w:rFonts w:ascii="Times New Roman" w:hAnsi="Times New Roman" w:cs="Times New Roman"/>
                <w:noProof/>
                <w:webHidden/>
              </w:rPr>
              <w:fldChar w:fldCharType="separate"/>
            </w:r>
            <w:r w:rsidR="00413A55">
              <w:rPr>
                <w:rFonts w:ascii="Times New Roman" w:hAnsi="Times New Roman" w:cs="Times New Roman"/>
                <w:noProof/>
                <w:webHidden/>
              </w:rPr>
              <w:t>55</w:t>
            </w:r>
            <w:r w:rsidRPr="00995B01">
              <w:rPr>
                <w:rFonts w:ascii="Times New Roman" w:hAnsi="Times New Roman" w:cs="Times New Roman"/>
                <w:noProof/>
                <w:webHidden/>
              </w:rPr>
              <w:fldChar w:fldCharType="end"/>
            </w:r>
          </w:hyperlink>
        </w:p>
        <w:p w:rsidR="00995B01" w:rsidRPr="00995B01" w:rsidRDefault="00EE56DA">
          <w:pPr>
            <w:pStyle w:val="Sumrio2"/>
            <w:tabs>
              <w:tab w:val="right" w:leader="dot" w:pos="9061"/>
            </w:tabs>
            <w:rPr>
              <w:rFonts w:ascii="Times New Roman" w:hAnsi="Times New Roman" w:cs="Times New Roman"/>
              <w:noProof/>
              <w:lang w:eastAsia="pt-BR"/>
            </w:rPr>
          </w:pPr>
          <w:hyperlink w:anchor="_Toc333911350" w:history="1">
            <w:r w:rsidR="00995B01" w:rsidRPr="00995B01">
              <w:rPr>
                <w:rStyle w:val="Hyperlink"/>
                <w:rFonts w:ascii="Times New Roman" w:hAnsi="Times New Roman" w:cs="Times New Roman"/>
                <w:noProof/>
              </w:rPr>
              <w:t>2.3 Políticas públicas para produção e consumo de biocombustíveis</w:t>
            </w:r>
            <w:r w:rsidR="00995B01" w:rsidRPr="00995B01">
              <w:rPr>
                <w:rFonts w:ascii="Times New Roman" w:hAnsi="Times New Roman" w:cs="Times New Roman"/>
                <w:noProof/>
                <w:webHidden/>
              </w:rPr>
              <w:tab/>
            </w:r>
            <w:r w:rsidRPr="00995B01">
              <w:rPr>
                <w:rFonts w:ascii="Times New Roman" w:hAnsi="Times New Roman" w:cs="Times New Roman"/>
                <w:noProof/>
                <w:webHidden/>
              </w:rPr>
              <w:fldChar w:fldCharType="begin"/>
            </w:r>
            <w:r w:rsidR="00995B01" w:rsidRPr="00995B01">
              <w:rPr>
                <w:rFonts w:ascii="Times New Roman" w:hAnsi="Times New Roman" w:cs="Times New Roman"/>
                <w:noProof/>
                <w:webHidden/>
              </w:rPr>
              <w:instrText xml:space="preserve"> PAGEREF _Toc333911350 \h </w:instrText>
            </w:r>
            <w:r w:rsidRPr="00995B01">
              <w:rPr>
                <w:rFonts w:ascii="Times New Roman" w:hAnsi="Times New Roman" w:cs="Times New Roman"/>
                <w:noProof/>
                <w:webHidden/>
              </w:rPr>
            </w:r>
            <w:r w:rsidRPr="00995B01">
              <w:rPr>
                <w:rFonts w:ascii="Times New Roman" w:hAnsi="Times New Roman" w:cs="Times New Roman"/>
                <w:noProof/>
                <w:webHidden/>
              </w:rPr>
              <w:fldChar w:fldCharType="separate"/>
            </w:r>
            <w:r w:rsidR="00413A55">
              <w:rPr>
                <w:rFonts w:ascii="Times New Roman" w:hAnsi="Times New Roman" w:cs="Times New Roman"/>
                <w:noProof/>
                <w:webHidden/>
              </w:rPr>
              <w:t>60</w:t>
            </w:r>
            <w:r w:rsidRPr="00995B01">
              <w:rPr>
                <w:rFonts w:ascii="Times New Roman" w:hAnsi="Times New Roman" w:cs="Times New Roman"/>
                <w:noProof/>
                <w:webHidden/>
              </w:rPr>
              <w:fldChar w:fldCharType="end"/>
            </w:r>
          </w:hyperlink>
        </w:p>
        <w:p w:rsidR="00995B01" w:rsidRPr="00995B01" w:rsidRDefault="00EE56DA">
          <w:pPr>
            <w:pStyle w:val="Sumrio2"/>
            <w:tabs>
              <w:tab w:val="right" w:leader="dot" w:pos="9061"/>
            </w:tabs>
            <w:rPr>
              <w:rFonts w:ascii="Times New Roman" w:hAnsi="Times New Roman" w:cs="Times New Roman"/>
              <w:noProof/>
              <w:lang w:eastAsia="pt-BR"/>
            </w:rPr>
          </w:pPr>
          <w:hyperlink w:anchor="_Toc333911351" w:history="1">
            <w:r w:rsidR="00995B01" w:rsidRPr="00995B01">
              <w:rPr>
                <w:rStyle w:val="Hyperlink"/>
                <w:rFonts w:ascii="Times New Roman" w:hAnsi="Times New Roman" w:cs="Times New Roman"/>
                <w:noProof/>
              </w:rPr>
              <w:t>2.4 Dos biocombustíveis convencionais aos avançados?</w:t>
            </w:r>
            <w:r w:rsidR="00995B01" w:rsidRPr="00995B01">
              <w:rPr>
                <w:rFonts w:ascii="Times New Roman" w:hAnsi="Times New Roman" w:cs="Times New Roman"/>
                <w:noProof/>
                <w:webHidden/>
              </w:rPr>
              <w:tab/>
            </w:r>
            <w:r w:rsidRPr="00995B01">
              <w:rPr>
                <w:rFonts w:ascii="Times New Roman" w:hAnsi="Times New Roman" w:cs="Times New Roman"/>
                <w:noProof/>
                <w:webHidden/>
              </w:rPr>
              <w:fldChar w:fldCharType="begin"/>
            </w:r>
            <w:r w:rsidR="00995B01" w:rsidRPr="00995B01">
              <w:rPr>
                <w:rFonts w:ascii="Times New Roman" w:hAnsi="Times New Roman" w:cs="Times New Roman"/>
                <w:noProof/>
                <w:webHidden/>
              </w:rPr>
              <w:instrText xml:space="preserve"> PAGEREF _Toc333911351 \h </w:instrText>
            </w:r>
            <w:r w:rsidRPr="00995B01">
              <w:rPr>
                <w:rFonts w:ascii="Times New Roman" w:hAnsi="Times New Roman" w:cs="Times New Roman"/>
                <w:noProof/>
                <w:webHidden/>
              </w:rPr>
            </w:r>
            <w:r w:rsidRPr="00995B01">
              <w:rPr>
                <w:rFonts w:ascii="Times New Roman" w:hAnsi="Times New Roman" w:cs="Times New Roman"/>
                <w:noProof/>
                <w:webHidden/>
              </w:rPr>
              <w:fldChar w:fldCharType="separate"/>
            </w:r>
            <w:r w:rsidR="00413A55">
              <w:rPr>
                <w:rFonts w:ascii="Times New Roman" w:hAnsi="Times New Roman" w:cs="Times New Roman"/>
                <w:noProof/>
                <w:webHidden/>
              </w:rPr>
              <w:t>62</w:t>
            </w:r>
            <w:r w:rsidRPr="00995B01">
              <w:rPr>
                <w:rFonts w:ascii="Times New Roman" w:hAnsi="Times New Roman" w:cs="Times New Roman"/>
                <w:noProof/>
                <w:webHidden/>
              </w:rPr>
              <w:fldChar w:fldCharType="end"/>
            </w:r>
          </w:hyperlink>
        </w:p>
        <w:p w:rsidR="00995B01" w:rsidRPr="00995B01" w:rsidRDefault="00EE56DA">
          <w:pPr>
            <w:pStyle w:val="Sumrio3"/>
            <w:tabs>
              <w:tab w:val="right" w:leader="dot" w:pos="9061"/>
            </w:tabs>
            <w:rPr>
              <w:rFonts w:ascii="Times New Roman" w:hAnsi="Times New Roman" w:cs="Times New Roman"/>
              <w:noProof/>
              <w:lang w:eastAsia="pt-BR"/>
            </w:rPr>
          </w:pPr>
          <w:hyperlink w:anchor="_Toc333911353" w:history="1">
            <w:r w:rsidR="00995B01" w:rsidRPr="00995B01">
              <w:rPr>
                <w:rStyle w:val="Hyperlink"/>
                <w:rFonts w:ascii="Times New Roman" w:hAnsi="Times New Roman" w:cs="Times New Roman"/>
                <w:noProof/>
              </w:rPr>
              <w:t>2.4.1 Processos bioquímicos</w:t>
            </w:r>
            <w:r w:rsidR="00995B01" w:rsidRPr="00995B01">
              <w:rPr>
                <w:rFonts w:ascii="Times New Roman" w:hAnsi="Times New Roman" w:cs="Times New Roman"/>
                <w:noProof/>
                <w:webHidden/>
              </w:rPr>
              <w:tab/>
            </w:r>
            <w:r w:rsidRPr="00995B01">
              <w:rPr>
                <w:rFonts w:ascii="Times New Roman" w:hAnsi="Times New Roman" w:cs="Times New Roman"/>
                <w:noProof/>
                <w:webHidden/>
              </w:rPr>
              <w:fldChar w:fldCharType="begin"/>
            </w:r>
            <w:r w:rsidR="00995B01" w:rsidRPr="00995B01">
              <w:rPr>
                <w:rFonts w:ascii="Times New Roman" w:hAnsi="Times New Roman" w:cs="Times New Roman"/>
                <w:noProof/>
                <w:webHidden/>
              </w:rPr>
              <w:instrText xml:space="preserve"> PAGEREF _Toc333911353 \h </w:instrText>
            </w:r>
            <w:r w:rsidRPr="00995B01">
              <w:rPr>
                <w:rFonts w:ascii="Times New Roman" w:hAnsi="Times New Roman" w:cs="Times New Roman"/>
                <w:noProof/>
                <w:webHidden/>
              </w:rPr>
            </w:r>
            <w:r w:rsidRPr="00995B01">
              <w:rPr>
                <w:rFonts w:ascii="Times New Roman" w:hAnsi="Times New Roman" w:cs="Times New Roman"/>
                <w:noProof/>
                <w:webHidden/>
              </w:rPr>
              <w:fldChar w:fldCharType="separate"/>
            </w:r>
            <w:r w:rsidR="00413A55">
              <w:rPr>
                <w:rFonts w:ascii="Times New Roman" w:hAnsi="Times New Roman" w:cs="Times New Roman"/>
                <w:noProof/>
                <w:webHidden/>
              </w:rPr>
              <w:t>63</w:t>
            </w:r>
            <w:r w:rsidRPr="00995B01">
              <w:rPr>
                <w:rFonts w:ascii="Times New Roman" w:hAnsi="Times New Roman" w:cs="Times New Roman"/>
                <w:noProof/>
                <w:webHidden/>
              </w:rPr>
              <w:fldChar w:fldCharType="end"/>
            </w:r>
          </w:hyperlink>
        </w:p>
        <w:p w:rsidR="00995B01" w:rsidRPr="00995B01" w:rsidRDefault="00EE56DA">
          <w:pPr>
            <w:pStyle w:val="Sumrio3"/>
            <w:tabs>
              <w:tab w:val="right" w:leader="dot" w:pos="9061"/>
            </w:tabs>
            <w:rPr>
              <w:rFonts w:ascii="Times New Roman" w:hAnsi="Times New Roman" w:cs="Times New Roman"/>
              <w:noProof/>
              <w:lang w:eastAsia="pt-BR"/>
            </w:rPr>
          </w:pPr>
          <w:hyperlink w:anchor="_Toc333911354" w:history="1">
            <w:r w:rsidR="00995B01" w:rsidRPr="00995B01">
              <w:rPr>
                <w:rStyle w:val="Hyperlink"/>
                <w:rFonts w:ascii="Times New Roman" w:hAnsi="Times New Roman" w:cs="Times New Roman"/>
                <w:noProof/>
              </w:rPr>
              <w:t>2.4.2 Processos termoquímicos</w:t>
            </w:r>
            <w:r w:rsidR="00995B01" w:rsidRPr="00995B01">
              <w:rPr>
                <w:rFonts w:ascii="Times New Roman" w:hAnsi="Times New Roman" w:cs="Times New Roman"/>
                <w:noProof/>
                <w:webHidden/>
              </w:rPr>
              <w:tab/>
            </w:r>
            <w:r w:rsidRPr="00995B01">
              <w:rPr>
                <w:rFonts w:ascii="Times New Roman" w:hAnsi="Times New Roman" w:cs="Times New Roman"/>
                <w:noProof/>
                <w:webHidden/>
              </w:rPr>
              <w:fldChar w:fldCharType="begin"/>
            </w:r>
            <w:r w:rsidR="00995B01" w:rsidRPr="00995B01">
              <w:rPr>
                <w:rFonts w:ascii="Times New Roman" w:hAnsi="Times New Roman" w:cs="Times New Roman"/>
                <w:noProof/>
                <w:webHidden/>
              </w:rPr>
              <w:instrText xml:space="preserve"> PAGEREF _Toc333911354 \h </w:instrText>
            </w:r>
            <w:r w:rsidRPr="00995B01">
              <w:rPr>
                <w:rFonts w:ascii="Times New Roman" w:hAnsi="Times New Roman" w:cs="Times New Roman"/>
                <w:noProof/>
                <w:webHidden/>
              </w:rPr>
            </w:r>
            <w:r w:rsidRPr="00995B01">
              <w:rPr>
                <w:rFonts w:ascii="Times New Roman" w:hAnsi="Times New Roman" w:cs="Times New Roman"/>
                <w:noProof/>
                <w:webHidden/>
              </w:rPr>
              <w:fldChar w:fldCharType="separate"/>
            </w:r>
            <w:r w:rsidR="00413A55">
              <w:rPr>
                <w:rFonts w:ascii="Times New Roman" w:hAnsi="Times New Roman" w:cs="Times New Roman"/>
                <w:noProof/>
                <w:webHidden/>
              </w:rPr>
              <w:t>65</w:t>
            </w:r>
            <w:r w:rsidRPr="00995B01">
              <w:rPr>
                <w:rFonts w:ascii="Times New Roman" w:hAnsi="Times New Roman" w:cs="Times New Roman"/>
                <w:noProof/>
                <w:webHidden/>
              </w:rPr>
              <w:fldChar w:fldCharType="end"/>
            </w:r>
          </w:hyperlink>
        </w:p>
        <w:p w:rsidR="00995B01" w:rsidRPr="00995B01" w:rsidRDefault="00EE56DA">
          <w:pPr>
            <w:pStyle w:val="Sumrio2"/>
            <w:tabs>
              <w:tab w:val="right" w:leader="dot" w:pos="9061"/>
            </w:tabs>
            <w:rPr>
              <w:rFonts w:ascii="Times New Roman" w:hAnsi="Times New Roman" w:cs="Times New Roman"/>
              <w:noProof/>
              <w:lang w:eastAsia="pt-BR"/>
            </w:rPr>
          </w:pPr>
          <w:hyperlink w:anchor="_Toc333911355" w:history="1">
            <w:r w:rsidR="00995B01" w:rsidRPr="00995B01">
              <w:rPr>
                <w:rStyle w:val="Hyperlink"/>
                <w:rFonts w:ascii="Times New Roman" w:hAnsi="Times New Roman" w:cs="Times New Roman"/>
                <w:noProof/>
              </w:rPr>
              <w:t>2.5 A inovação em diversas dimensões</w:t>
            </w:r>
            <w:r w:rsidR="00995B01" w:rsidRPr="00995B01">
              <w:rPr>
                <w:rFonts w:ascii="Times New Roman" w:hAnsi="Times New Roman" w:cs="Times New Roman"/>
                <w:noProof/>
                <w:webHidden/>
              </w:rPr>
              <w:tab/>
            </w:r>
            <w:r w:rsidRPr="00995B01">
              <w:rPr>
                <w:rFonts w:ascii="Times New Roman" w:hAnsi="Times New Roman" w:cs="Times New Roman"/>
                <w:noProof/>
                <w:webHidden/>
              </w:rPr>
              <w:fldChar w:fldCharType="begin"/>
            </w:r>
            <w:r w:rsidR="00995B01" w:rsidRPr="00995B01">
              <w:rPr>
                <w:rFonts w:ascii="Times New Roman" w:hAnsi="Times New Roman" w:cs="Times New Roman"/>
                <w:noProof/>
                <w:webHidden/>
              </w:rPr>
              <w:instrText xml:space="preserve"> PAGEREF _Toc333911355 \h </w:instrText>
            </w:r>
            <w:r w:rsidRPr="00995B01">
              <w:rPr>
                <w:rFonts w:ascii="Times New Roman" w:hAnsi="Times New Roman" w:cs="Times New Roman"/>
                <w:noProof/>
                <w:webHidden/>
              </w:rPr>
            </w:r>
            <w:r w:rsidRPr="00995B01">
              <w:rPr>
                <w:rFonts w:ascii="Times New Roman" w:hAnsi="Times New Roman" w:cs="Times New Roman"/>
                <w:noProof/>
                <w:webHidden/>
              </w:rPr>
              <w:fldChar w:fldCharType="separate"/>
            </w:r>
            <w:r w:rsidR="00413A55">
              <w:rPr>
                <w:rFonts w:ascii="Times New Roman" w:hAnsi="Times New Roman" w:cs="Times New Roman"/>
                <w:noProof/>
                <w:webHidden/>
              </w:rPr>
              <w:t>66</w:t>
            </w:r>
            <w:r w:rsidRPr="00995B01">
              <w:rPr>
                <w:rFonts w:ascii="Times New Roman" w:hAnsi="Times New Roman" w:cs="Times New Roman"/>
                <w:noProof/>
                <w:webHidden/>
              </w:rPr>
              <w:fldChar w:fldCharType="end"/>
            </w:r>
          </w:hyperlink>
        </w:p>
        <w:p w:rsidR="00995B01" w:rsidRPr="00995B01" w:rsidRDefault="00EE56DA">
          <w:pPr>
            <w:pStyle w:val="Sumrio3"/>
            <w:tabs>
              <w:tab w:val="right" w:leader="dot" w:pos="9061"/>
            </w:tabs>
            <w:rPr>
              <w:rFonts w:ascii="Times New Roman" w:hAnsi="Times New Roman" w:cs="Times New Roman"/>
              <w:noProof/>
              <w:lang w:eastAsia="pt-BR"/>
            </w:rPr>
          </w:pPr>
          <w:hyperlink w:anchor="_Toc333911356" w:history="1">
            <w:r w:rsidR="00995B01" w:rsidRPr="00995B01">
              <w:rPr>
                <w:rStyle w:val="Hyperlink"/>
                <w:rFonts w:ascii="Times New Roman" w:hAnsi="Times New Roman" w:cs="Times New Roman"/>
                <w:noProof/>
              </w:rPr>
              <w:t>2.5.1 Novos processos, produtos e matérias-primas</w:t>
            </w:r>
            <w:r w:rsidR="00995B01" w:rsidRPr="00995B01">
              <w:rPr>
                <w:rFonts w:ascii="Times New Roman" w:hAnsi="Times New Roman" w:cs="Times New Roman"/>
                <w:noProof/>
                <w:webHidden/>
              </w:rPr>
              <w:tab/>
            </w:r>
            <w:r w:rsidRPr="00995B01">
              <w:rPr>
                <w:rFonts w:ascii="Times New Roman" w:hAnsi="Times New Roman" w:cs="Times New Roman"/>
                <w:noProof/>
                <w:webHidden/>
              </w:rPr>
              <w:fldChar w:fldCharType="begin"/>
            </w:r>
            <w:r w:rsidR="00995B01" w:rsidRPr="00995B01">
              <w:rPr>
                <w:rFonts w:ascii="Times New Roman" w:hAnsi="Times New Roman" w:cs="Times New Roman"/>
                <w:noProof/>
                <w:webHidden/>
              </w:rPr>
              <w:instrText xml:space="preserve"> PAGEREF _Toc333911356 \h </w:instrText>
            </w:r>
            <w:r w:rsidRPr="00995B01">
              <w:rPr>
                <w:rFonts w:ascii="Times New Roman" w:hAnsi="Times New Roman" w:cs="Times New Roman"/>
                <w:noProof/>
                <w:webHidden/>
              </w:rPr>
            </w:r>
            <w:r w:rsidRPr="00995B01">
              <w:rPr>
                <w:rFonts w:ascii="Times New Roman" w:hAnsi="Times New Roman" w:cs="Times New Roman"/>
                <w:noProof/>
                <w:webHidden/>
              </w:rPr>
              <w:fldChar w:fldCharType="separate"/>
            </w:r>
            <w:r w:rsidR="00413A55">
              <w:rPr>
                <w:rFonts w:ascii="Times New Roman" w:hAnsi="Times New Roman" w:cs="Times New Roman"/>
                <w:noProof/>
                <w:webHidden/>
              </w:rPr>
              <w:t>66</w:t>
            </w:r>
            <w:r w:rsidRPr="00995B01">
              <w:rPr>
                <w:rFonts w:ascii="Times New Roman" w:hAnsi="Times New Roman" w:cs="Times New Roman"/>
                <w:noProof/>
                <w:webHidden/>
              </w:rPr>
              <w:fldChar w:fldCharType="end"/>
            </w:r>
          </w:hyperlink>
        </w:p>
        <w:p w:rsidR="00995B01" w:rsidRPr="00995B01" w:rsidRDefault="00EE56DA">
          <w:pPr>
            <w:pStyle w:val="Sumrio3"/>
            <w:tabs>
              <w:tab w:val="right" w:leader="dot" w:pos="9061"/>
            </w:tabs>
            <w:rPr>
              <w:rFonts w:ascii="Times New Roman" w:hAnsi="Times New Roman" w:cs="Times New Roman"/>
              <w:noProof/>
              <w:lang w:eastAsia="pt-BR"/>
            </w:rPr>
          </w:pPr>
          <w:hyperlink w:anchor="_Toc333911357" w:history="1">
            <w:r w:rsidR="00995B01" w:rsidRPr="00995B01">
              <w:rPr>
                <w:rStyle w:val="Hyperlink"/>
                <w:rFonts w:ascii="Times New Roman" w:hAnsi="Times New Roman" w:cs="Times New Roman"/>
                <w:noProof/>
              </w:rPr>
              <w:t>2.5.2 Biorrefinarias e coprodutos</w:t>
            </w:r>
            <w:r w:rsidR="00995B01" w:rsidRPr="00995B01">
              <w:rPr>
                <w:rFonts w:ascii="Times New Roman" w:hAnsi="Times New Roman" w:cs="Times New Roman"/>
                <w:noProof/>
                <w:webHidden/>
              </w:rPr>
              <w:tab/>
            </w:r>
            <w:r w:rsidRPr="00995B01">
              <w:rPr>
                <w:rFonts w:ascii="Times New Roman" w:hAnsi="Times New Roman" w:cs="Times New Roman"/>
                <w:noProof/>
                <w:webHidden/>
              </w:rPr>
              <w:fldChar w:fldCharType="begin"/>
            </w:r>
            <w:r w:rsidR="00995B01" w:rsidRPr="00995B01">
              <w:rPr>
                <w:rFonts w:ascii="Times New Roman" w:hAnsi="Times New Roman" w:cs="Times New Roman"/>
                <w:noProof/>
                <w:webHidden/>
              </w:rPr>
              <w:instrText xml:space="preserve"> PAGEREF _Toc333911357 \h </w:instrText>
            </w:r>
            <w:r w:rsidRPr="00995B01">
              <w:rPr>
                <w:rFonts w:ascii="Times New Roman" w:hAnsi="Times New Roman" w:cs="Times New Roman"/>
                <w:noProof/>
                <w:webHidden/>
              </w:rPr>
            </w:r>
            <w:r w:rsidRPr="00995B01">
              <w:rPr>
                <w:rFonts w:ascii="Times New Roman" w:hAnsi="Times New Roman" w:cs="Times New Roman"/>
                <w:noProof/>
                <w:webHidden/>
              </w:rPr>
              <w:fldChar w:fldCharType="separate"/>
            </w:r>
            <w:r w:rsidR="00413A55">
              <w:rPr>
                <w:rFonts w:ascii="Times New Roman" w:hAnsi="Times New Roman" w:cs="Times New Roman"/>
                <w:noProof/>
                <w:webHidden/>
              </w:rPr>
              <w:t>69</w:t>
            </w:r>
            <w:r w:rsidRPr="00995B01">
              <w:rPr>
                <w:rFonts w:ascii="Times New Roman" w:hAnsi="Times New Roman" w:cs="Times New Roman"/>
                <w:noProof/>
                <w:webHidden/>
              </w:rPr>
              <w:fldChar w:fldCharType="end"/>
            </w:r>
          </w:hyperlink>
        </w:p>
        <w:p w:rsidR="00995B01" w:rsidRPr="00995B01" w:rsidRDefault="00EE56DA">
          <w:pPr>
            <w:pStyle w:val="Sumrio2"/>
            <w:tabs>
              <w:tab w:val="right" w:leader="dot" w:pos="9061"/>
            </w:tabs>
            <w:rPr>
              <w:rFonts w:ascii="Times New Roman" w:hAnsi="Times New Roman" w:cs="Times New Roman"/>
              <w:noProof/>
              <w:lang w:eastAsia="pt-BR"/>
            </w:rPr>
          </w:pPr>
          <w:hyperlink w:anchor="_Toc333911361" w:history="1">
            <w:r w:rsidR="00995B01" w:rsidRPr="00995B01">
              <w:rPr>
                <w:rStyle w:val="Hyperlink"/>
                <w:rFonts w:ascii="Times New Roman" w:hAnsi="Times New Roman" w:cs="Times New Roman"/>
                <w:noProof/>
              </w:rPr>
              <w:t>2.5.3 Tendências da nova bioindústria</w:t>
            </w:r>
            <w:r w:rsidR="00995B01" w:rsidRPr="00995B01">
              <w:rPr>
                <w:rFonts w:ascii="Times New Roman" w:hAnsi="Times New Roman" w:cs="Times New Roman"/>
                <w:noProof/>
                <w:webHidden/>
              </w:rPr>
              <w:tab/>
            </w:r>
            <w:r w:rsidRPr="00995B01">
              <w:rPr>
                <w:rFonts w:ascii="Times New Roman" w:hAnsi="Times New Roman" w:cs="Times New Roman"/>
                <w:noProof/>
                <w:webHidden/>
              </w:rPr>
              <w:fldChar w:fldCharType="begin"/>
            </w:r>
            <w:r w:rsidR="00995B01" w:rsidRPr="00995B01">
              <w:rPr>
                <w:rFonts w:ascii="Times New Roman" w:hAnsi="Times New Roman" w:cs="Times New Roman"/>
                <w:noProof/>
                <w:webHidden/>
              </w:rPr>
              <w:instrText xml:space="preserve"> PAGEREF _Toc333911361 \h </w:instrText>
            </w:r>
            <w:r w:rsidRPr="00995B01">
              <w:rPr>
                <w:rFonts w:ascii="Times New Roman" w:hAnsi="Times New Roman" w:cs="Times New Roman"/>
                <w:noProof/>
                <w:webHidden/>
              </w:rPr>
            </w:r>
            <w:r w:rsidRPr="00995B01">
              <w:rPr>
                <w:rFonts w:ascii="Times New Roman" w:hAnsi="Times New Roman" w:cs="Times New Roman"/>
                <w:noProof/>
                <w:webHidden/>
              </w:rPr>
              <w:fldChar w:fldCharType="separate"/>
            </w:r>
            <w:r w:rsidR="00413A55">
              <w:rPr>
                <w:rFonts w:ascii="Times New Roman" w:hAnsi="Times New Roman" w:cs="Times New Roman"/>
                <w:noProof/>
                <w:webHidden/>
              </w:rPr>
              <w:t>72</w:t>
            </w:r>
            <w:r w:rsidRPr="00995B01">
              <w:rPr>
                <w:rFonts w:ascii="Times New Roman" w:hAnsi="Times New Roman" w:cs="Times New Roman"/>
                <w:noProof/>
                <w:webHidden/>
              </w:rPr>
              <w:fldChar w:fldCharType="end"/>
            </w:r>
          </w:hyperlink>
        </w:p>
        <w:p w:rsidR="00995B01" w:rsidRPr="00995B01" w:rsidRDefault="00EE56DA">
          <w:pPr>
            <w:pStyle w:val="Sumrio2"/>
            <w:tabs>
              <w:tab w:val="right" w:leader="dot" w:pos="9061"/>
            </w:tabs>
            <w:rPr>
              <w:rStyle w:val="Hyperlink"/>
              <w:rFonts w:ascii="Times New Roman" w:hAnsi="Times New Roman" w:cs="Times New Roman"/>
              <w:noProof/>
            </w:rPr>
          </w:pPr>
          <w:hyperlink w:anchor="_Toc333911362" w:history="1">
            <w:r w:rsidR="00995B01" w:rsidRPr="00995B01">
              <w:rPr>
                <w:rStyle w:val="Hyperlink"/>
                <w:rFonts w:ascii="Times New Roman" w:hAnsi="Times New Roman" w:cs="Times New Roman"/>
                <w:noProof/>
              </w:rPr>
              <w:t>2.6 Conclusões</w:t>
            </w:r>
            <w:r w:rsidR="00995B01" w:rsidRPr="00995B01">
              <w:rPr>
                <w:rFonts w:ascii="Times New Roman" w:hAnsi="Times New Roman" w:cs="Times New Roman"/>
                <w:noProof/>
                <w:webHidden/>
              </w:rPr>
              <w:tab/>
            </w:r>
            <w:r w:rsidRPr="00995B01">
              <w:rPr>
                <w:rFonts w:ascii="Times New Roman" w:hAnsi="Times New Roman" w:cs="Times New Roman"/>
                <w:noProof/>
                <w:webHidden/>
              </w:rPr>
              <w:fldChar w:fldCharType="begin"/>
            </w:r>
            <w:r w:rsidR="00995B01" w:rsidRPr="00995B01">
              <w:rPr>
                <w:rFonts w:ascii="Times New Roman" w:hAnsi="Times New Roman" w:cs="Times New Roman"/>
                <w:noProof/>
                <w:webHidden/>
              </w:rPr>
              <w:instrText xml:space="preserve"> PAGEREF _Toc333911362 \h </w:instrText>
            </w:r>
            <w:r w:rsidRPr="00995B01">
              <w:rPr>
                <w:rFonts w:ascii="Times New Roman" w:hAnsi="Times New Roman" w:cs="Times New Roman"/>
                <w:noProof/>
                <w:webHidden/>
              </w:rPr>
            </w:r>
            <w:r w:rsidRPr="00995B01">
              <w:rPr>
                <w:rFonts w:ascii="Times New Roman" w:hAnsi="Times New Roman" w:cs="Times New Roman"/>
                <w:noProof/>
                <w:webHidden/>
              </w:rPr>
              <w:fldChar w:fldCharType="separate"/>
            </w:r>
            <w:r w:rsidR="00413A55">
              <w:rPr>
                <w:rFonts w:ascii="Times New Roman" w:hAnsi="Times New Roman" w:cs="Times New Roman"/>
                <w:noProof/>
                <w:webHidden/>
              </w:rPr>
              <w:t>75</w:t>
            </w:r>
            <w:r w:rsidRPr="00995B01">
              <w:rPr>
                <w:rFonts w:ascii="Times New Roman" w:hAnsi="Times New Roman" w:cs="Times New Roman"/>
                <w:noProof/>
                <w:webHidden/>
              </w:rPr>
              <w:fldChar w:fldCharType="end"/>
            </w:r>
          </w:hyperlink>
        </w:p>
        <w:p w:rsidR="00995B01" w:rsidRPr="00995B01" w:rsidRDefault="00995B01" w:rsidP="00995B01">
          <w:pPr>
            <w:rPr>
              <w:rFonts w:ascii="Times New Roman" w:hAnsi="Times New Roman" w:cs="Times New Roman"/>
              <w:noProof/>
            </w:rPr>
          </w:pPr>
        </w:p>
        <w:p w:rsidR="00995B01" w:rsidRDefault="00EE56DA">
          <w:pPr>
            <w:pStyle w:val="Sumrio1"/>
            <w:rPr>
              <w:rStyle w:val="Hyperlink"/>
              <w:rFonts w:ascii="Times New Roman" w:hAnsi="Times New Roman"/>
            </w:rPr>
          </w:pPr>
          <w:hyperlink w:anchor="_Toc333911363" w:history="1">
            <w:r w:rsidR="00995B01" w:rsidRPr="00995B01">
              <w:rPr>
                <w:rStyle w:val="Hyperlink"/>
                <w:rFonts w:ascii="Times New Roman" w:hAnsi="Times New Roman"/>
              </w:rPr>
              <w:t>CAPÍTULO 3: adaptação regulatória nos Estados Unidos e no Brasil</w:t>
            </w:r>
            <w:r w:rsidR="00995B01" w:rsidRPr="00995B01">
              <w:rPr>
                <w:rFonts w:ascii="Times New Roman" w:hAnsi="Times New Roman"/>
                <w:webHidden/>
              </w:rPr>
              <w:tab/>
            </w:r>
            <w:r w:rsidRPr="00995B01">
              <w:rPr>
                <w:rFonts w:ascii="Times New Roman" w:hAnsi="Times New Roman"/>
                <w:webHidden/>
              </w:rPr>
              <w:fldChar w:fldCharType="begin"/>
            </w:r>
            <w:r w:rsidR="00995B01" w:rsidRPr="00995B01">
              <w:rPr>
                <w:rFonts w:ascii="Times New Roman" w:hAnsi="Times New Roman"/>
                <w:webHidden/>
              </w:rPr>
              <w:instrText xml:space="preserve"> PAGEREF _Toc333911363 \h </w:instrText>
            </w:r>
            <w:r w:rsidRPr="00995B01">
              <w:rPr>
                <w:rFonts w:ascii="Times New Roman" w:hAnsi="Times New Roman"/>
                <w:webHidden/>
              </w:rPr>
            </w:r>
            <w:r w:rsidRPr="00995B01">
              <w:rPr>
                <w:rFonts w:ascii="Times New Roman" w:hAnsi="Times New Roman"/>
                <w:webHidden/>
              </w:rPr>
              <w:fldChar w:fldCharType="separate"/>
            </w:r>
            <w:r w:rsidR="00413A55">
              <w:rPr>
                <w:rFonts w:ascii="Times New Roman" w:hAnsi="Times New Roman"/>
                <w:webHidden/>
              </w:rPr>
              <w:t>77</w:t>
            </w:r>
            <w:r w:rsidRPr="00995B01">
              <w:rPr>
                <w:rFonts w:ascii="Times New Roman" w:hAnsi="Times New Roman"/>
                <w:webHidden/>
              </w:rPr>
              <w:fldChar w:fldCharType="end"/>
            </w:r>
          </w:hyperlink>
        </w:p>
        <w:p w:rsidR="00995B01" w:rsidRPr="00995B01" w:rsidRDefault="00995B01" w:rsidP="00995B01">
          <w:pPr>
            <w:rPr>
              <w:noProof/>
              <w:lang w:val="pt-PT"/>
            </w:rPr>
          </w:pPr>
        </w:p>
        <w:p w:rsidR="00995B01" w:rsidRPr="00995B01" w:rsidRDefault="00EE56DA">
          <w:pPr>
            <w:pStyle w:val="Sumrio2"/>
            <w:tabs>
              <w:tab w:val="right" w:leader="dot" w:pos="9061"/>
            </w:tabs>
            <w:rPr>
              <w:rFonts w:ascii="Times New Roman" w:hAnsi="Times New Roman" w:cs="Times New Roman"/>
              <w:noProof/>
              <w:lang w:eastAsia="pt-BR"/>
            </w:rPr>
          </w:pPr>
          <w:hyperlink w:anchor="_Toc333911364" w:history="1">
            <w:r w:rsidR="00995B01" w:rsidRPr="00995B01">
              <w:rPr>
                <w:rStyle w:val="Hyperlink"/>
                <w:rFonts w:ascii="Times New Roman" w:hAnsi="Times New Roman" w:cs="Times New Roman"/>
                <w:noProof/>
              </w:rPr>
              <w:t>3.1 O caso norte-americano</w:t>
            </w:r>
            <w:r w:rsidR="00995B01" w:rsidRPr="00995B01">
              <w:rPr>
                <w:rFonts w:ascii="Times New Roman" w:hAnsi="Times New Roman" w:cs="Times New Roman"/>
                <w:noProof/>
                <w:webHidden/>
              </w:rPr>
              <w:tab/>
            </w:r>
            <w:r w:rsidRPr="00995B01">
              <w:rPr>
                <w:rFonts w:ascii="Times New Roman" w:hAnsi="Times New Roman" w:cs="Times New Roman"/>
                <w:noProof/>
                <w:webHidden/>
              </w:rPr>
              <w:fldChar w:fldCharType="begin"/>
            </w:r>
            <w:r w:rsidR="00995B01" w:rsidRPr="00995B01">
              <w:rPr>
                <w:rFonts w:ascii="Times New Roman" w:hAnsi="Times New Roman" w:cs="Times New Roman"/>
                <w:noProof/>
                <w:webHidden/>
              </w:rPr>
              <w:instrText xml:space="preserve"> PAGEREF _Toc333911364 \h </w:instrText>
            </w:r>
            <w:r w:rsidRPr="00995B01">
              <w:rPr>
                <w:rFonts w:ascii="Times New Roman" w:hAnsi="Times New Roman" w:cs="Times New Roman"/>
                <w:noProof/>
                <w:webHidden/>
              </w:rPr>
            </w:r>
            <w:r w:rsidRPr="00995B01">
              <w:rPr>
                <w:rFonts w:ascii="Times New Roman" w:hAnsi="Times New Roman" w:cs="Times New Roman"/>
                <w:noProof/>
                <w:webHidden/>
              </w:rPr>
              <w:fldChar w:fldCharType="separate"/>
            </w:r>
            <w:r w:rsidR="00413A55">
              <w:rPr>
                <w:rFonts w:ascii="Times New Roman" w:hAnsi="Times New Roman" w:cs="Times New Roman"/>
                <w:noProof/>
                <w:webHidden/>
              </w:rPr>
              <w:t>77</w:t>
            </w:r>
            <w:r w:rsidRPr="00995B01">
              <w:rPr>
                <w:rFonts w:ascii="Times New Roman" w:hAnsi="Times New Roman" w:cs="Times New Roman"/>
                <w:noProof/>
                <w:webHidden/>
              </w:rPr>
              <w:fldChar w:fldCharType="end"/>
            </w:r>
          </w:hyperlink>
        </w:p>
        <w:p w:rsidR="00995B01" w:rsidRPr="00995B01" w:rsidRDefault="00EE56DA">
          <w:pPr>
            <w:pStyle w:val="Sumrio3"/>
            <w:tabs>
              <w:tab w:val="right" w:leader="dot" w:pos="9061"/>
            </w:tabs>
            <w:rPr>
              <w:rFonts w:ascii="Times New Roman" w:hAnsi="Times New Roman" w:cs="Times New Roman"/>
              <w:noProof/>
              <w:lang w:eastAsia="pt-BR"/>
            </w:rPr>
          </w:pPr>
          <w:hyperlink w:anchor="_Toc333911365" w:history="1">
            <w:r w:rsidR="00995B01" w:rsidRPr="00995B01">
              <w:rPr>
                <w:rStyle w:val="Hyperlink"/>
                <w:rFonts w:ascii="Times New Roman" w:hAnsi="Times New Roman" w:cs="Times New Roman"/>
                <w:noProof/>
              </w:rPr>
              <w:t>3.1.1 A regulação dos biocombustíveis nos Estados Unidos</w:t>
            </w:r>
            <w:r w:rsidR="00995B01" w:rsidRPr="00995B01">
              <w:rPr>
                <w:rFonts w:ascii="Times New Roman" w:hAnsi="Times New Roman" w:cs="Times New Roman"/>
                <w:noProof/>
                <w:webHidden/>
              </w:rPr>
              <w:tab/>
            </w:r>
            <w:r w:rsidRPr="00995B01">
              <w:rPr>
                <w:rFonts w:ascii="Times New Roman" w:hAnsi="Times New Roman" w:cs="Times New Roman"/>
                <w:noProof/>
                <w:webHidden/>
              </w:rPr>
              <w:fldChar w:fldCharType="begin"/>
            </w:r>
            <w:r w:rsidR="00995B01" w:rsidRPr="00995B01">
              <w:rPr>
                <w:rFonts w:ascii="Times New Roman" w:hAnsi="Times New Roman" w:cs="Times New Roman"/>
                <w:noProof/>
                <w:webHidden/>
              </w:rPr>
              <w:instrText xml:space="preserve"> PAGEREF _Toc333911365 \h </w:instrText>
            </w:r>
            <w:r w:rsidRPr="00995B01">
              <w:rPr>
                <w:rFonts w:ascii="Times New Roman" w:hAnsi="Times New Roman" w:cs="Times New Roman"/>
                <w:noProof/>
                <w:webHidden/>
              </w:rPr>
            </w:r>
            <w:r w:rsidRPr="00995B01">
              <w:rPr>
                <w:rFonts w:ascii="Times New Roman" w:hAnsi="Times New Roman" w:cs="Times New Roman"/>
                <w:noProof/>
                <w:webHidden/>
              </w:rPr>
              <w:fldChar w:fldCharType="separate"/>
            </w:r>
            <w:r w:rsidR="00413A55">
              <w:rPr>
                <w:rFonts w:ascii="Times New Roman" w:hAnsi="Times New Roman" w:cs="Times New Roman"/>
                <w:noProof/>
                <w:webHidden/>
              </w:rPr>
              <w:t>77</w:t>
            </w:r>
            <w:r w:rsidRPr="00995B01">
              <w:rPr>
                <w:rFonts w:ascii="Times New Roman" w:hAnsi="Times New Roman" w:cs="Times New Roman"/>
                <w:noProof/>
                <w:webHidden/>
              </w:rPr>
              <w:fldChar w:fldCharType="end"/>
            </w:r>
          </w:hyperlink>
        </w:p>
        <w:p w:rsidR="00995B01" w:rsidRPr="00995B01" w:rsidRDefault="00EE56DA">
          <w:pPr>
            <w:pStyle w:val="Sumrio3"/>
            <w:tabs>
              <w:tab w:val="right" w:leader="dot" w:pos="9061"/>
            </w:tabs>
            <w:rPr>
              <w:rFonts w:ascii="Times New Roman" w:hAnsi="Times New Roman" w:cs="Times New Roman"/>
              <w:noProof/>
              <w:lang w:eastAsia="pt-BR"/>
            </w:rPr>
          </w:pPr>
          <w:hyperlink w:anchor="_Toc333911366" w:history="1">
            <w:r w:rsidR="00995B01" w:rsidRPr="00995B01">
              <w:rPr>
                <w:rStyle w:val="Hyperlink"/>
                <w:rFonts w:ascii="Times New Roman" w:hAnsi="Times New Roman" w:cs="Times New Roman"/>
                <w:noProof/>
              </w:rPr>
              <w:t>3.1.2 O biobutanol</w:t>
            </w:r>
            <w:r w:rsidR="00995B01" w:rsidRPr="00995B01">
              <w:rPr>
                <w:rFonts w:ascii="Times New Roman" w:hAnsi="Times New Roman" w:cs="Times New Roman"/>
                <w:noProof/>
                <w:webHidden/>
              </w:rPr>
              <w:tab/>
            </w:r>
            <w:r w:rsidRPr="00995B01">
              <w:rPr>
                <w:rFonts w:ascii="Times New Roman" w:hAnsi="Times New Roman" w:cs="Times New Roman"/>
                <w:noProof/>
                <w:webHidden/>
              </w:rPr>
              <w:fldChar w:fldCharType="begin"/>
            </w:r>
            <w:r w:rsidR="00995B01" w:rsidRPr="00995B01">
              <w:rPr>
                <w:rFonts w:ascii="Times New Roman" w:hAnsi="Times New Roman" w:cs="Times New Roman"/>
                <w:noProof/>
                <w:webHidden/>
              </w:rPr>
              <w:instrText xml:space="preserve"> PAGEREF _Toc333911366 \h </w:instrText>
            </w:r>
            <w:r w:rsidRPr="00995B01">
              <w:rPr>
                <w:rFonts w:ascii="Times New Roman" w:hAnsi="Times New Roman" w:cs="Times New Roman"/>
                <w:noProof/>
                <w:webHidden/>
              </w:rPr>
            </w:r>
            <w:r w:rsidRPr="00995B01">
              <w:rPr>
                <w:rFonts w:ascii="Times New Roman" w:hAnsi="Times New Roman" w:cs="Times New Roman"/>
                <w:noProof/>
                <w:webHidden/>
              </w:rPr>
              <w:fldChar w:fldCharType="separate"/>
            </w:r>
            <w:r w:rsidR="00413A55">
              <w:rPr>
                <w:rFonts w:ascii="Times New Roman" w:hAnsi="Times New Roman" w:cs="Times New Roman"/>
                <w:noProof/>
                <w:webHidden/>
              </w:rPr>
              <w:t>83</w:t>
            </w:r>
            <w:r w:rsidRPr="00995B01">
              <w:rPr>
                <w:rFonts w:ascii="Times New Roman" w:hAnsi="Times New Roman" w:cs="Times New Roman"/>
                <w:noProof/>
                <w:webHidden/>
              </w:rPr>
              <w:fldChar w:fldCharType="end"/>
            </w:r>
          </w:hyperlink>
        </w:p>
        <w:p w:rsidR="00995B01" w:rsidRPr="00995B01" w:rsidRDefault="00EE56DA">
          <w:pPr>
            <w:pStyle w:val="Sumrio3"/>
            <w:tabs>
              <w:tab w:val="right" w:leader="dot" w:pos="9061"/>
            </w:tabs>
            <w:rPr>
              <w:rFonts w:ascii="Times New Roman" w:hAnsi="Times New Roman" w:cs="Times New Roman"/>
              <w:noProof/>
              <w:lang w:eastAsia="pt-BR"/>
            </w:rPr>
          </w:pPr>
          <w:hyperlink w:anchor="_Toc333911367" w:history="1">
            <w:r w:rsidR="00995B01" w:rsidRPr="00995B01">
              <w:rPr>
                <w:rStyle w:val="Hyperlink"/>
                <w:rFonts w:ascii="Times New Roman" w:hAnsi="Times New Roman" w:cs="Times New Roman"/>
                <w:noProof/>
              </w:rPr>
              <w:t>3.1.3 Oportunidades e entraves para o biobutanol sob o RFS2</w:t>
            </w:r>
            <w:r w:rsidR="00995B01" w:rsidRPr="00995B01">
              <w:rPr>
                <w:rFonts w:ascii="Times New Roman" w:hAnsi="Times New Roman" w:cs="Times New Roman"/>
                <w:noProof/>
                <w:webHidden/>
              </w:rPr>
              <w:tab/>
            </w:r>
            <w:r w:rsidRPr="00995B01">
              <w:rPr>
                <w:rFonts w:ascii="Times New Roman" w:hAnsi="Times New Roman" w:cs="Times New Roman"/>
                <w:noProof/>
                <w:webHidden/>
              </w:rPr>
              <w:fldChar w:fldCharType="begin"/>
            </w:r>
            <w:r w:rsidR="00995B01" w:rsidRPr="00995B01">
              <w:rPr>
                <w:rFonts w:ascii="Times New Roman" w:hAnsi="Times New Roman" w:cs="Times New Roman"/>
                <w:noProof/>
                <w:webHidden/>
              </w:rPr>
              <w:instrText xml:space="preserve"> PAGEREF _Toc333911367 \h </w:instrText>
            </w:r>
            <w:r w:rsidRPr="00995B01">
              <w:rPr>
                <w:rFonts w:ascii="Times New Roman" w:hAnsi="Times New Roman" w:cs="Times New Roman"/>
                <w:noProof/>
                <w:webHidden/>
              </w:rPr>
            </w:r>
            <w:r w:rsidRPr="00995B01">
              <w:rPr>
                <w:rFonts w:ascii="Times New Roman" w:hAnsi="Times New Roman" w:cs="Times New Roman"/>
                <w:noProof/>
                <w:webHidden/>
              </w:rPr>
              <w:fldChar w:fldCharType="separate"/>
            </w:r>
            <w:r w:rsidR="00413A55">
              <w:rPr>
                <w:rFonts w:ascii="Times New Roman" w:hAnsi="Times New Roman" w:cs="Times New Roman"/>
                <w:noProof/>
                <w:webHidden/>
              </w:rPr>
              <w:t>85</w:t>
            </w:r>
            <w:r w:rsidRPr="00995B01">
              <w:rPr>
                <w:rFonts w:ascii="Times New Roman" w:hAnsi="Times New Roman" w:cs="Times New Roman"/>
                <w:noProof/>
                <w:webHidden/>
              </w:rPr>
              <w:fldChar w:fldCharType="end"/>
            </w:r>
          </w:hyperlink>
        </w:p>
        <w:p w:rsidR="00995B01" w:rsidRPr="00995B01" w:rsidRDefault="00EE56DA">
          <w:pPr>
            <w:pStyle w:val="Sumrio3"/>
            <w:tabs>
              <w:tab w:val="right" w:leader="dot" w:pos="9061"/>
            </w:tabs>
            <w:rPr>
              <w:rFonts w:ascii="Times New Roman" w:hAnsi="Times New Roman" w:cs="Times New Roman"/>
              <w:noProof/>
              <w:lang w:eastAsia="pt-BR"/>
            </w:rPr>
          </w:pPr>
          <w:hyperlink w:anchor="_Toc333911368" w:history="1">
            <w:r w:rsidR="00995B01" w:rsidRPr="00995B01">
              <w:rPr>
                <w:rStyle w:val="Hyperlink"/>
                <w:rFonts w:ascii="Times New Roman" w:hAnsi="Times New Roman" w:cs="Times New Roman"/>
                <w:noProof/>
              </w:rPr>
              <w:t>3.1.4 Aprovação de novas rotas de produção sob o RFS2</w:t>
            </w:r>
            <w:r w:rsidR="00995B01" w:rsidRPr="00995B01">
              <w:rPr>
                <w:rFonts w:ascii="Times New Roman" w:hAnsi="Times New Roman" w:cs="Times New Roman"/>
                <w:noProof/>
                <w:webHidden/>
              </w:rPr>
              <w:tab/>
            </w:r>
            <w:r w:rsidRPr="00995B01">
              <w:rPr>
                <w:rFonts w:ascii="Times New Roman" w:hAnsi="Times New Roman" w:cs="Times New Roman"/>
                <w:noProof/>
                <w:webHidden/>
              </w:rPr>
              <w:fldChar w:fldCharType="begin"/>
            </w:r>
            <w:r w:rsidR="00995B01" w:rsidRPr="00995B01">
              <w:rPr>
                <w:rFonts w:ascii="Times New Roman" w:hAnsi="Times New Roman" w:cs="Times New Roman"/>
                <w:noProof/>
                <w:webHidden/>
              </w:rPr>
              <w:instrText xml:space="preserve"> PAGEREF _Toc333911368 \h </w:instrText>
            </w:r>
            <w:r w:rsidRPr="00995B01">
              <w:rPr>
                <w:rFonts w:ascii="Times New Roman" w:hAnsi="Times New Roman" w:cs="Times New Roman"/>
                <w:noProof/>
                <w:webHidden/>
              </w:rPr>
            </w:r>
            <w:r w:rsidRPr="00995B01">
              <w:rPr>
                <w:rFonts w:ascii="Times New Roman" w:hAnsi="Times New Roman" w:cs="Times New Roman"/>
                <w:noProof/>
                <w:webHidden/>
              </w:rPr>
              <w:fldChar w:fldCharType="separate"/>
            </w:r>
            <w:r w:rsidR="00413A55">
              <w:rPr>
                <w:rFonts w:ascii="Times New Roman" w:hAnsi="Times New Roman" w:cs="Times New Roman"/>
                <w:noProof/>
                <w:webHidden/>
              </w:rPr>
              <w:t>90</w:t>
            </w:r>
            <w:r w:rsidRPr="00995B01">
              <w:rPr>
                <w:rFonts w:ascii="Times New Roman" w:hAnsi="Times New Roman" w:cs="Times New Roman"/>
                <w:noProof/>
                <w:webHidden/>
              </w:rPr>
              <w:fldChar w:fldCharType="end"/>
            </w:r>
          </w:hyperlink>
        </w:p>
        <w:p w:rsidR="00995B01" w:rsidRPr="00995B01" w:rsidRDefault="00EE56DA">
          <w:pPr>
            <w:pStyle w:val="Sumrio3"/>
            <w:tabs>
              <w:tab w:val="right" w:leader="dot" w:pos="9061"/>
            </w:tabs>
            <w:rPr>
              <w:rFonts w:ascii="Times New Roman" w:hAnsi="Times New Roman" w:cs="Times New Roman"/>
              <w:noProof/>
              <w:lang w:eastAsia="pt-BR"/>
            </w:rPr>
          </w:pPr>
          <w:hyperlink w:anchor="_Toc333911369" w:history="1">
            <w:r w:rsidR="00995B01" w:rsidRPr="00995B01">
              <w:rPr>
                <w:rStyle w:val="Hyperlink"/>
                <w:rFonts w:ascii="Times New Roman" w:hAnsi="Times New Roman" w:cs="Times New Roman"/>
                <w:noProof/>
              </w:rPr>
              <w:t>3.1.5 Considerações sobre o caso norte-americano</w:t>
            </w:r>
            <w:r w:rsidR="00995B01" w:rsidRPr="00995B01">
              <w:rPr>
                <w:rFonts w:ascii="Times New Roman" w:hAnsi="Times New Roman" w:cs="Times New Roman"/>
                <w:noProof/>
                <w:webHidden/>
              </w:rPr>
              <w:tab/>
            </w:r>
            <w:r w:rsidRPr="00995B01">
              <w:rPr>
                <w:rFonts w:ascii="Times New Roman" w:hAnsi="Times New Roman" w:cs="Times New Roman"/>
                <w:noProof/>
                <w:webHidden/>
              </w:rPr>
              <w:fldChar w:fldCharType="begin"/>
            </w:r>
            <w:r w:rsidR="00995B01" w:rsidRPr="00995B01">
              <w:rPr>
                <w:rFonts w:ascii="Times New Roman" w:hAnsi="Times New Roman" w:cs="Times New Roman"/>
                <w:noProof/>
                <w:webHidden/>
              </w:rPr>
              <w:instrText xml:space="preserve"> PAGEREF _Toc333911369 \h </w:instrText>
            </w:r>
            <w:r w:rsidRPr="00995B01">
              <w:rPr>
                <w:rFonts w:ascii="Times New Roman" w:hAnsi="Times New Roman" w:cs="Times New Roman"/>
                <w:noProof/>
                <w:webHidden/>
              </w:rPr>
            </w:r>
            <w:r w:rsidRPr="00995B01">
              <w:rPr>
                <w:rFonts w:ascii="Times New Roman" w:hAnsi="Times New Roman" w:cs="Times New Roman"/>
                <w:noProof/>
                <w:webHidden/>
              </w:rPr>
              <w:fldChar w:fldCharType="separate"/>
            </w:r>
            <w:r w:rsidR="00413A55">
              <w:rPr>
                <w:rFonts w:ascii="Times New Roman" w:hAnsi="Times New Roman" w:cs="Times New Roman"/>
                <w:noProof/>
                <w:webHidden/>
              </w:rPr>
              <w:t>93</w:t>
            </w:r>
            <w:r w:rsidRPr="00995B01">
              <w:rPr>
                <w:rFonts w:ascii="Times New Roman" w:hAnsi="Times New Roman" w:cs="Times New Roman"/>
                <w:noProof/>
                <w:webHidden/>
              </w:rPr>
              <w:fldChar w:fldCharType="end"/>
            </w:r>
          </w:hyperlink>
        </w:p>
        <w:p w:rsidR="00995B01" w:rsidRPr="00995B01" w:rsidRDefault="00EE56DA">
          <w:pPr>
            <w:pStyle w:val="Sumrio2"/>
            <w:tabs>
              <w:tab w:val="right" w:leader="dot" w:pos="9061"/>
            </w:tabs>
            <w:rPr>
              <w:rFonts w:ascii="Times New Roman" w:hAnsi="Times New Roman" w:cs="Times New Roman"/>
              <w:noProof/>
              <w:lang w:eastAsia="pt-BR"/>
            </w:rPr>
          </w:pPr>
          <w:hyperlink w:anchor="_Toc333911370" w:history="1">
            <w:r w:rsidR="00995B01" w:rsidRPr="00995B01">
              <w:rPr>
                <w:rStyle w:val="Hyperlink"/>
                <w:rFonts w:ascii="Times New Roman" w:hAnsi="Times New Roman" w:cs="Times New Roman"/>
                <w:noProof/>
              </w:rPr>
              <w:t>3.2 O caso brasileiro</w:t>
            </w:r>
            <w:r w:rsidR="00995B01" w:rsidRPr="00995B01">
              <w:rPr>
                <w:rFonts w:ascii="Times New Roman" w:hAnsi="Times New Roman" w:cs="Times New Roman"/>
                <w:noProof/>
                <w:webHidden/>
              </w:rPr>
              <w:tab/>
            </w:r>
            <w:r w:rsidRPr="00995B01">
              <w:rPr>
                <w:rFonts w:ascii="Times New Roman" w:hAnsi="Times New Roman" w:cs="Times New Roman"/>
                <w:noProof/>
                <w:webHidden/>
              </w:rPr>
              <w:fldChar w:fldCharType="begin"/>
            </w:r>
            <w:r w:rsidR="00995B01" w:rsidRPr="00995B01">
              <w:rPr>
                <w:rFonts w:ascii="Times New Roman" w:hAnsi="Times New Roman" w:cs="Times New Roman"/>
                <w:noProof/>
                <w:webHidden/>
              </w:rPr>
              <w:instrText xml:space="preserve"> PAGEREF _Toc333911370 \h </w:instrText>
            </w:r>
            <w:r w:rsidRPr="00995B01">
              <w:rPr>
                <w:rFonts w:ascii="Times New Roman" w:hAnsi="Times New Roman" w:cs="Times New Roman"/>
                <w:noProof/>
                <w:webHidden/>
              </w:rPr>
            </w:r>
            <w:r w:rsidRPr="00995B01">
              <w:rPr>
                <w:rFonts w:ascii="Times New Roman" w:hAnsi="Times New Roman" w:cs="Times New Roman"/>
                <w:noProof/>
                <w:webHidden/>
              </w:rPr>
              <w:fldChar w:fldCharType="separate"/>
            </w:r>
            <w:r w:rsidR="00413A55">
              <w:rPr>
                <w:rFonts w:ascii="Times New Roman" w:hAnsi="Times New Roman" w:cs="Times New Roman"/>
                <w:noProof/>
                <w:webHidden/>
              </w:rPr>
              <w:t>93</w:t>
            </w:r>
            <w:r w:rsidRPr="00995B01">
              <w:rPr>
                <w:rFonts w:ascii="Times New Roman" w:hAnsi="Times New Roman" w:cs="Times New Roman"/>
                <w:noProof/>
                <w:webHidden/>
              </w:rPr>
              <w:fldChar w:fldCharType="end"/>
            </w:r>
          </w:hyperlink>
        </w:p>
        <w:p w:rsidR="00995B01" w:rsidRPr="00995B01" w:rsidRDefault="00EE56DA">
          <w:pPr>
            <w:pStyle w:val="Sumrio3"/>
            <w:tabs>
              <w:tab w:val="right" w:leader="dot" w:pos="9061"/>
            </w:tabs>
            <w:rPr>
              <w:rFonts w:ascii="Times New Roman" w:hAnsi="Times New Roman" w:cs="Times New Roman"/>
              <w:noProof/>
              <w:lang w:eastAsia="pt-BR"/>
            </w:rPr>
          </w:pPr>
          <w:hyperlink w:anchor="_Toc333911371" w:history="1">
            <w:r w:rsidR="00995B01" w:rsidRPr="00995B01">
              <w:rPr>
                <w:rStyle w:val="Hyperlink"/>
                <w:rFonts w:ascii="Times New Roman" w:hAnsi="Times New Roman" w:cs="Times New Roman"/>
                <w:noProof/>
              </w:rPr>
              <w:t>3.2.1 A Regulação dos biocombustíveis no Brasil</w:t>
            </w:r>
            <w:r w:rsidR="00995B01" w:rsidRPr="00995B01">
              <w:rPr>
                <w:rFonts w:ascii="Times New Roman" w:hAnsi="Times New Roman" w:cs="Times New Roman"/>
                <w:noProof/>
                <w:webHidden/>
              </w:rPr>
              <w:tab/>
            </w:r>
            <w:r w:rsidRPr="00995B01">
              <w:rPr>
                <w:rFonts w:ascii="Times New Roman" w:hAnsi="Times New Roman" w:cs="Times New Roman"/>
                <w:noProof/>
                <w:webHidden/>
              </w:rPr>
              <w:fldChar w:fldCharType="begin"/>
            </w:r>
            <w:r w:rsidR="00995B01" w:rsidRPr="00995B01">
              <w:rPr>
                <w:rFonts w:ascii="Times New Roman" w:hAnsi="Times New Roman" w:cs="Times New Roman"/>
                <w:noProof/>
                <w:webHidden/>
              </w:rPr>
              <w:instrText xml:space="preserve"> PAGEREF _Toc333911371 \h </w:instrText>
            </w:r>
            <w:r w:rsidRPr="00995B01">
              <w:rPr>
                <w:rFonts w:ascii="Times New Roman" w:hAnsi="Times New Roman" w:cs="Times New Roman"/>
                <w:noProof/>
                <w:webHidden/>
              </w:rPr>
            </w:r>
            <w:r w:rsidRPr="00995B01">
              <w:rPr>
                <w:rFonts w:ascii="Times New Roman" w:hAnsi="Times New Roman" w:cs="Times New Roman"/>
                <w:noProof/>
                <w:webHidden/>
              </w:rPr>
              <w:fldChar w:fldCharType="separate"/>
            </w:r>
            <w:r w:rsidR="00413A55">
              <w:rPr>
                <w:rFonts w:ascii="Times New Roman" w:hAnsi="Times New Roman" w:cs="Times New Roman"/>
                <w:noProof/>
                <w:webHidden/>
              </w:rPr>
              <w:t>94</w:t>
            </w:r>
            <w:r w:rsidRPr="00995B01">
              <w:rPr>
                <w:rFonts w:ascii="Times New Roman" w:hAnsi="Times New Roman" w:cs="Times New Roman"/>
                <w:noProof/>
                <w:webHidden/>
              </w:rPr>
              <w:fldChar w:fldCharType="end"/>
            </w:r>
          </w:hyperlink>
        </w:p>
        <w:p w:rsidR="00995B01" w:rsidRPr="00995B01" w:rsidRDefault="00EE56DA">
          <w:pPr>
            <w:pStyle w:val="Sumrio3"/>
            <w:tabs>
              <w:tab w:val="right" w:leader="dot" w:pos="9061"/>
            </w:tabs>
            <w:rPr>
              <w:rFonts w:ascii="Times New Roman" w:hAnsi="Times New Roman" w:cs="Times New Roman"/>
              <w:noProof/>
              <w:lang w:eastAsia="pt-BR"/>
            </w:rPr>
          </w:pPr>
          <w:hyperlink w:anchor="_Toc333911372" w:history="1">
            <w:r w:rsidR="00995B01" w:rsidRPr="00995B01">
              <w:rPr>
                <w:rStyle w:val="Hyperlink"/>
                <w:rFonts w:ascii="Times New Roman" w:hAnsi="Times New Roman" w:cs="Times New Roman"/>
                <w:noProof/>
              </w:rPr>
              <w:t>3.2.2 Os biocombustíveis na política energética brasileira</w:t>
            </w:r>
            <w:r w:rsidR="00995B01" w:rsidRPr="00995B01">
              <w:rPr>
                <w:rFonts w:ascii="Times New Roman" w:hAnsi="Times New Roman" w:cs="Times New Roman"/>
                <w:noProof/>
                <w:webHidden/>
              </w:rPr>
              <w:tab/>
            </w:r>
            <w:r w:rsidRPr="00995B01">
              <w:rPr>
                <w:rFonts w:ascii="Times New Roman" w:hAnsi="Times New Roman" w:cs="Times New Roman"/>
                <w:noProof/>
                <w:webHidden/>
              </w:rPr>
              <w:fldChar w:fldCharType="begin"/>
            </w:r>
            <w:r w:rsidR="00995B01" w:rsidRPr="00995B01">
              <w:rPr>
                <w:rFonts w:ascii="Times New Roman" w:hAnsi="Times New Roman" w:cs="Times New Roman"/>
                <w:noProof/>
                <w:webHidden/>
              </w:rPr>
              <w:instrText xml:space="preserve"> PAGEREF _Toc333911372 \h </w:instrText>
            </w:r>
            <w:r w:rsidRPr="00995B01">
              <w:rPr>
                <w:rFonts w:ascii="Times New Roman" w:hAnsi="Times New Roman" w:cs="Times New Roman"/>
                <w:noProof/>
                <w:webHidden/>
              </w:rPr>
            </w:r>
            <w:r w:rsidRPr="00995B01">
              <w:rPr>
                <w:rFonts w:ascii="Times New Roman" w:hAnsi="Times New Roman" w:cs="Times New Roman"/>
                <w:noProof/>
                <w:webHidden/>
              </w:rPr>
              <w:fldChar w:fldCharType="separate"/>
            </w:r>
            <w:r w:rsidR="00413A55">
              <w:rPr>
                <w:rFonts w:ascii="Times New Roman" w:hAnsi="Times New Roman" w:cs="Times New Roman"/>
                <w:noProof/>
                <w:webHidden/>
              </w:rPr>
              <w:t>96</w:t>
            </w:r>
            <w:r w:rsidRPr="00995B01">
              <w:rPr>
                <w:rFonts w:ascii="Times New Roman" w:hAnsi="Times New Roman" w:cs="Times New Roman"/>
                <w:noProof/>
                <w:webHidden/>
              </w:rPr>
              <w:fldChar w:fldCharType="end"/>
            </w:r>
          </w:hyperlink>
        </w:p>
        <w:p w:rsidR="00995B01" w:rsidRPr="00995B01" w:rsidRDefault="00EE56DA">
          <w:pPr>
            <w:pStyle w:val="Sumrio3"/>
            <w:tabs>
              <w:tab w:val="right" w:leader="dot" w:pos="9061"/>
            </w:tabs>
            <w:rPr>
              <w:rFonts w:ascii="Times New Roman" w:hAnsi="Times New Roman" w:cs="Times New Roman"/>
              <w:noProof/>
              <w:lang w:eastAsia="pt-BR"/>
            </w:rPr>
          </w:pPr>
          <w:hyperlink w:anchor="_Toc333911373" w:history="1">
            <w:r w:rsidR="00995B01" w:rsidRPr="00995B01">
              <w:rPr>
                <w:rStyle w:val="Hyperlink"/>
                <w:rFonts w:ascii="Times New Roman" w:hAnsi="Times New Roman" w:cs="Times New Roman"/>
                <w:noProof/>
              </w:rPr>
              <w:t>3.2.3 Os biocombustíveis e a política industrial brasileira</w:t>
            </w:r>
            <w:r w:rsidR="00995B01" w:rsidRPr="00995B01">
              <w:rPr>
                <w:rFonts w:ascii="Times New Roman" w:hAnsi="Times New Roman" w:cs="Times New Roman"/>
                <w:noProof/>
                <w:webHidden/>
              </w:rPr>
              <w:tab/>
            </w:r>
            <w:r w:rsidRPr="00995B01">
              <w:rPr>
                <w:rFonts w:ascii="Times New Roman" w:hAnsi="Times New Roman" w:cs="Times New Roman"/>
                <w:noProof/>
                <w:webHidden/>
              </w:rPr>
              <w:fldChar w:fldCharType="begin"/>
            </w:r>
            <w:r w:rsidR="00995B01" w:rsidRPr="00995B01">
              <w:rPr>
                <w:rFonts w:ascii="Times New Roman" w:hAnsi="Times New Roman" w:cs="Times New Roman"/>
                <w:noProof/>
                <w:webHidden/>
              </w:rPr>
              <w:instrText xml:space="preserve"> PAGEREF _Toc333911373 \h </w:instrText>
            </w:r>
            <w:r w:rsidRPr="00995B01">
              <w:rPr>
                <w:rFonts w:ascii="Times New Roman" w:hAnsi="Times New Roman" w:cs="Times New Roman"/>
                <w:noProof/>
                <w:webHidden/>
              </w:rPr>
            </w:r>
            <w:r w:rsidRPr="00995B01">
              <w:rPr>
                <w:rFonts w:ascii="Times New Roman" w:hAnsi="Times New Roman" w:cs="Times New Roman"/>
                <w:noProof/>
                <w:webHidden/>
              </w:rPr>
              <w:fldChar w:fldCharType="separate"/>
            </w:r>
            <w:r w:rsidR="00413A55">
              <w:rPr>
                <w:rFonts w:ascii="Times New Roman" w:hAnsi="Times New Roman" w:cs="Times New Roman"/>
                <w:noProof/>
                <w:webHidden/>
              </w:rPr>
              <w:t>101</w:t>
            </w:r>
            <w:r w:rsidRPr="00995B01">
              <w:rPr>
                <w:rFonts w:ascii="Times New Roman" w:hAnsi="Times New Roman" w:cs="Times New Roman"/>
                <w:noProof/>
                <w:webHidden/>
              </w:rPr>
              <w:fldChar w:fldCharType="end"/>
            </w:r>
          </w:hyperlink>
        </w:p>
        <w:p w:rsidR="00995B01" w:rsidRPr="00995B01" w:rsidRDefault="00EE56DA">
          <w:pPr>
            <w:pStyle w:val="Sumrio3"/>
            <w:tabs>
              <w:tab w:val="right" w:leader="dot" w:pos="9061"/>
            </w:tabs>
            <w:rPr>
              <w:rFonts w:ascii="Times New Roman" w:hAnsi="Times New Roman" w:cs="Times New Roman"/>
              <w:noProof/>
              <w:lang w:eastAsia="pt-BR"/>
            </w:rPr>
          </w:pPr>
          <w:hyperlink w:anchor="_Toc333911374" w:history="1">
            <w:r w:rsidR="00995B01" w:rsidRPr="00995B01">
              <w:rPr>
                <w:rStyle w:val="Hyperlink"/>
                <w:rFonts w:ascii="Times New Roman" w:hAnsi="Times New Roman" w:cs="Times New Roman"/>
                <w:noProof/>
              </w:rPr>
              <w:t>3.2.4 Os biocombustíveis e a Política Nacional de Mudanças Climáticas</w:t>
            </w:r>
            <w:r w:rsidR="00995B01" w:rsidRPr="00995B01">
              <w:rPr>
                <w:rFonts w:ascii="Times New Roman" w:hAnsi="Times New Roman" w:cs="Times New Roman"/>
                <w:noProof/>
                <w:webHidden/>
              </w:rPr>
              <w:tab/>
            </w:r>
            <w:r w:rsidRPr="00995B01">
              <w:rPr>
                <w:rFonts w:ascii="Times New Roman" w:hAnsi="Times New Roman" w:cs="Times New Roman"/>
                <w:noProof/>
                <w:webHidden/>
              </w:rPr>
              <w:fldChar w:fldCharType="begin"/>
            </w:r>
            <w:r w:rsidR="00995B01" w:rsidRPr="00995B01">
              <w:rPr>
                <w:rFonts w:ascii="Times New Roman" w:hAnsi="Times New Roman" w:cs="Times New Roman"/>
                <w:noProof/>
                <w:webHidden/>
              </w:rPr>
              <w:instrText xml:space="preserve"> PAGEREF _Toc333911374 \h </w:instrText>
            </w:r>
            <w:r w:rsidRPr="00995B01">
              <w:rPr>
                <w:rFonts w:ascii="Times New Roman" w:hAnsi="Times New Roman" w:cs="Times New Roman"/>
                <w:noProof/>
                <w:webHidden/>
              </w:rPr>
            </w:r>
            <w:r w:rsidRPr="00995B01">
              <w:rPr>
                <w:rFonts w:ascii="Times New Roman" w:hAnsi="Times New Roman" w:cs="Times New Roman"/>
                <w:noProof/>
                <w:webHidden/>
              </w:rPr>
              <w:fldChar w:fldCharType="separate"/>
            </w:r>
            <w:r w:rsidR="00413A55">
              <w:rPr>
                <w:rFonts w:ascii="Times New Roman" w:hAnsi="Times New Roman" w:cs="Times New Roman"/>
                <w:noProof/>
                <w:webHidden/>
              </w:rPr>
              <w:t>106</w:t>
            </w:r>
            <w:r w:rsidRPr="00995B01">
              <w:rPr>
                <w:rFonts w:ascii="Times New Roman" w:hAnsi="Times New Roman" w:cs="Times New Roman"/>
                <w:noProof/>
                <w:webHidden/>
              </w:rPr>
              <w:fldChar w:fldCharType="end"/>
            </w:r>
          </w:hyperlink>
        </w:p>
        <w:p w:rsidR="00995B01" w:rsidRPr="00995B01" w:rsidRDefault="00EE56DA">
          <w:pPr>
            <w:pStyle w:val="Sumrio3"/>
            <w:tabs>
              <w:tab w:val="right" w:leader="dot" w:pos="9061"/>
            </w:tabs>
            <w:rPr>
              <w:rFonts w:ascii="Times New Roman" w:hAnsi="Times New Roman" w:cs="Times New Roman"/>
              <w:noProof/>
              <w:lang w:eastAsia="pt-BR"/>
            </w:rPr>
          </w:pPr>
          <w:hyperlink w:anchor="_Toc333911375" w:history="1">
            <w:r w:rsidR="00995B01" w:rsidRPr="00995B01">
              <w:rPr>
                <w:rStyle w:val="Hyperlink"/>
                <w:rFonts w:ascii="Times New Roman" w:hAnsi="Times New Roman" w:cs="Times New Roman"/>
                <w:noProof/>
              </w:rPr>
              <w:t>3.2.5 A introdução de um novo biocombustível no mercado</w:t>
            </w:r>
            <w:r w:rsidR="00995B01" w:rsidRPr="00995B01">
              <w:rPr>
                <w:rFonts w:ascii="Times New Roman" w:hAnsi="Times New Roman" w:cs="Times New Roman"/>
                <w:noProof/>
                <w:webHidden/>
              </w:rPr>
              <w:tab/>
            </w:r>
            <w:r w:rsidRPr="00995B01">
              <w:rPr>
                <w:rFonts w:ascii="Times New Roman" w:hAnsi="Times New Roman" w:cs="Times New Roman"/>
                <w:noProof/>
                <w:webHidden/>
              </w:rPr>
              <w:fldChar w:fldCharType="begin"/>
            </w:r>
            <w:r w:rsidR="00995B01" w:rsidRPr="00995B01">
              <w:rPr>
                <w:rFonts w:ascii="Times New Roman" w:hAnsi="Times New Roman" w:cs="Times New Roman"/>
                <w:noProof/>
                <w:webHidden/>
              </w:rPr>
              <w:instrText xml:space="preserve"> PAGEREF _Toc333911375 \h </w:instrText>
            </w:r>
            <w:r w:rsidRPr="00995B01">
              <w:rPr>
                <w:rFonts w:ascii="Times New Roman" w:hAnsi="Times New Roman" w:cs="Times New Roman"/>
                <w:noProof/>
                <w:webHidden/>
              </w:rPr>
            </w:r>
            <w:r w:rsidRPr="00995B01">
              <w:rPr>
                <w:rFonts w:ascii="Times New Roman" w:hAnsi="Times New Roman" w:cs="Times New Roman"/>
                <w:noProof/>
                <w:webHidden/>
              </w:rPr>
              <w:fldChar w:fldCharType="separate"/>
            </w:r>
            <w:r w:rsidR="00413A55">
              <w:rPr>
                <w:rFonts w:ascii="Times New Roman" w:hAnsi="Times New Roman" w:cs="Times New Roman"/>
                <w:noProof/>
                <w:webHidden/>
              </w:rPr>
              <w:t>108</w:t>
            </w:r>
            <w:r w:rsidRPr="00995B01">
              <w:rPr>
                <w:rFonts w:ascii="Times New Roman" w:hAnsi="Times New Roman" w:cs="Times New Roman"/>
                <w:noProof/>
                <w:webHidden/>
              </w:rPr>
              <w:fldChar w:fldCharType="end"/>
            </w:r>
          </w:hyperlink>
        </w:p>
        <w:p w:rsidR="00995B01" w:rsidRPr="00995B01" w:rsidRDefault="00EE56DA">
          <w:pPr>
            <w:pStyle w:val="Sumrio3"/>
            <w:tabs>
              <w:tab w:val="right" w:leader="dot" w:pos="9061"/>
            </w:tabs>
            <w:rPr>
              <w:rFonts w:ascii="Times New Roman" w:hAnsi="Times New Roman" w:cs="Times New Roman"/>
              <w:noProof/>
              <w:lang w:eastAsia="pt-BR"/>
            </w:rPr>
          </w:pPr>
          <w:hyperlink w:anchor="_Toc333911376" w:history="1">
            <w:r w:rsidR="00995B01" w:rsidRPr="00995B01">
              <w:rPr>
                <w:rStyle w:val="Hyperlink"/>
                <w:rFonts w:ascii="Times New Roman" w:hAnsi="Times New Roman" w:cs="Times New Roman"/>
                <w:noProof/>
              </w:rPr>
              <w:t>3.2.6 A regulação e as novas políticas</w:t>
            </w:r>
            <w:r w:rsidR="00995B01" w:rsidRPr="00995B01">
              <w:rPr>
                <w:rFonts w:ascii="Times New Roman" w:hAnsi="Times New Roman" w:cs="Times New Roman"/>
                <w:noProof/>
                <w:webHidden/>
              </w:rPr>
              <w:tab/>
            </w:r>
            <w:r w:rsidRPr="00995B01">
              <w:rPr>
                <w:rFonts w:ascii="Times New Roman" w:hAnsi="Times New Roman" w:cs="Times New Roman"/>
                <w:noProof/>
                <w:webHidden/>
              </w:rPr>
              <w:fldChar w:fldCharType="begin"/>
            </w:r>
            <w:r w:rsidR="00995B01" w:rsidRPr="00995B01">
              <w:rPr>
                <w:rFonts w:ascii="Times New Roman" w:hAnsi="Times New Roman" w:cs="Times New Roman"/>
                <w:noProof/>
                <w:webHidden/>
              </w:rPr>
              <w:instrText xml:space="preserve"> PAGEREF _Toc333911376 \h </w:instrText>
            </w:r>
            <w:r w:rsidRPr="00995B01">
              <w:rPr>
                <w:rFonts w:ascii="Times New Roman" w:hAnsi="Times New Roman" w:cs="Times New Roman"/>
                <w:noProof/>
                <w:webHidden/>
              </w:rPr>
            </w:r>
            <w:r w:rsidRPr="00995B01">
              <w:rPr>
                <w:rFonts w:ascii="Times New Roman" w:hAnsi="Times New Roman" w:cs="Times New Roman"/>
                <w:noProof/>
                <w:webHidden/>
              </w:rPr>
              <w:fldChar w:fldCharType="separate"/>
            </w:r>
            <w:r w:rsidR="00413A55">
              <w:rPr>
                <w:rFonts w:ascii="Times New Roman" w:hAnsi="Times New Roman" w:cs="Times New Roman"/>
                <w:noProof/>
                <w:webHidden/>
              </w:rPr>
              <w:t>110</w:t>
            </w:r>
            <w:r w:rsidRPr="00995B01">
              <w:rPr>
                <w:rFonts w:ascii="Times New Roman" w:hAnsi="Times New Roman" w:cs="Times New Roman"/>
                <w:noProof/>
                <w:webHidden/>
              </w:rPr>
              <w:fldChar w:fldCharType="end"/>
            </w:r>
          </w:hyperlink>
        </w:p>
        <w:p w:rsidR="00995B01" w:rsidRPr="00995B01" w:rsidRDefault="00EE56DA">
          <w:pPr>
            <w:pStyle w:val="Sumrio3"/>
            <w:tabs>
              <w:tab w:val="right" w:leader="dot" w:pos="9061"/>
            </w:tabs>
            <w:rPr>
              <w:rFonts w:ascii="Times New Roman" w:hAnsi="Times New Roman" w:cs="Times New Roman"/>
              <w:noProof/>
              <w:lang w:eastAsia="pt-BR"/>
            </w:rPr>
          </w:pPr>
          <w:hyperlink w:anchor="_Toc333911377" w:history="1">
            <w:r w:rsidR="00995B01" w:rsidRPr="00995B01">
              <w:rPr>
                <w:rStyle w:val="Hyperlink"/>
                <w:rFonts w:ascii="Times New Roman" w:hAnsi="Times New Roman" w:cs="Times New Roman"/>
                <w:noProof/>
                <w:lang w:val="pt-PT"/>
              </w:rPr>
              <w:t>3.2.7 Considerações sobre o caso brasileiro</w:t>
            </w:r>
            <w:r w:rsidR="00995B01" w:rsidRPr="00995B01">
              <w:rPr>
                <w:rFonts w:ascii="Times New Roman" w:hAnsi="Times New Roman" w:cs="Times New Roman"/>
                <w:noProof/>
                <w:webHidden/>
              </w:rPr>
              <w:tab/>
            </w:r>
            <w:r w:rsidRPr="00995B01">
              <w:rPr>
                <w:rFonts w:ascii="Times New Roman" w:hAnsi="Times New Roman" w:cs="Times New Roman"/>
                <w:noProof/>
                <w:webHidden/>
              </w:rPr>
              <w:fldChar w:fldCharType="begin"/>
            </w:r>
            <w:r w:rsidR="00995B01" w:rsidRPr="00995B01">
              <w:rPr>
                <w:rFonts w:ascii="Times New Roman" w:hAnsi="Times New Roman" w:cs="Times New Roman"/>
                <w:noProof/>
                <w:webHidden/>
              </w:rPr>
              <w:instrText xml:space="preserve"> PAGEREF _Toc333911377 \h </w:instrText>
            </w:r>
            <w:r w:rsidRPr="00995B01">
              <w:rPr>
                <w:rFonts w:ascii="Times New Roman" w:hAnsi="Times New Roman" w:cs="Times New Roman"/>
                <w:noProof/>
                <w:webHidden/>
              </w:rPr>
            </w:r>
            <w:r w:rsidRPr="00995B01">
              <w:rPr>
                <w:rFonts w:ascii="Times New Roman" w:hAnsi="Times New Roman" w:cs="Times New Roman"/>
                <w:noProof/>
                <w:webHidden/>
              </w:rPr>
              <w:fldChar w:fldCharType="separate"/>
            </w:r>
            <w:r w:rsidR="00413A55">
              <w:rPr>
                <w:rFonts w:ascii="Times New Roman" w:hAnsi="Times New Roman" w:cs="Times New Roman"/>
                <w:noProof/>
                <w:webHidden/>
              </w:rPr>
              <w:t>112</w:t>
            </w:r>
            <w:r w:rsidRPr="00995B01">
              <w:rPr>
                <w:rFonts w:ascii="Times New Roman" w:hAnsi="Times New Roman" w:cs="Times New Roman"/>
                <w:noProof/>
                <w:webHidden/>
              </w:rPr>
              <w:fldChar w:fldCharType="end"/>
            </w:r>
          </w:hyperlink>
        </w:p>
        <w:p w:rsidR="00995B01" w:rsidRPr="00995B01" w:rsidRDefault="00EE56DA">
          <w:pPr>
            <w:pStyle w:val="Sumrio2"/>
            <w:tabs>
              <w:tab w:val="right" w:leader="dot" w:pos="9061"/>
            </w:tabs>
            <w:rPr>
              <w:rFonts w:ascii="Times New Roman" w:hAnsi="Times New Roman" w:cs="Times New Roman"/>
              <w:noProof/>
              <w:lang w:eastAsia="pt-BR"/>
            </w:rPr>
          </w:pPr>
          <w:hyperlink w:anchor="_Toc333911378" w:history="1">
            <w:r w:rsidR="00995B01" w:rsidRPr="00995B01">
              <w:rPr>
                <w:rStyle w:val="Hyperlink"/>
                <w:rFonts w:ascii="Times New Roman" w:hAnsi="Times New Roman" w:cs="Times New Roman"/>
                <w:noProof/>
              </w:rPr>
              <w:t>3.3 Lições dos casos norte-americano e brasileiro</w:t>
            </w:r>
            <w:r w:rsidR="00995B01" w:rsidRPr="00995B01">
              <w:rPr>
                <w:rFonts w:ascii="Times New Roman" w:hAnsi="Times New Roman" w:cs="Times New Roman"/>
                <w:noProof/>
                <w:webHidden/>
              </w:rPr>
              <w:tab/>
            </w:r>
            <w:r w:rsidRPr="00995B01">
              <w:rPr>
                <w:rFonts w:ascii="Times New Roman" w:hAnsi="Times New Roman" w:cs="Times New Roman"/>
                <w:noProof/>
                <w:webHidden/>
              </w:rPr>
              <w:fldChar w:fldCharType="begin"/>
            </w:r>
            <w:r w:rsidR="00995B01" w:rsidRPr="00995B01">
              <w:rPr>
                <w:rFonts w:ascii="Times New Roman" w:hAnsi="Times New Roman" w:cs="Times New Roman"/>
                <w:noProof/>
                <w:webHidden/>
              </w:rPr>
              <w:instrText xml:space="preserve"> PAGEREF _Toc333911378 \h </w:instrText>
            </w:r>
            <w:r w:rsidRPr="00995B01">
              <w:rPr>
                <w:rFonts w:ascii="Times New Roman" w:hAnsi="Times New Roman" w:cs="Times New Roman"/>
                <w:noProof/>
                <w:webHidden/>
              </w:rPr>
            </w:r>
            <w:r w:rsidRPr="00995B01">
              <w:rPr>
                <w:rFonts w:ascii="Times New Roman" w:hAnsi="Times New Roman" w:cs="Times New Roman"/>
                <w:noProof/>
                <w:webHidden/>
              </w:rPr>
              <w:fldChar w:fldCharType="separate"/>
            </w:r>
            <w:r w:rsidR="00413A55">
              <w:rPr>
                <w:rFonts w:ascii="Times New Roman" w:hAnsi="Times New Roman" w:cs="Times New Roman"/>
                <w:noProof/>
                <w:webHidden/>
              </w:rPr>
              <w:t>114</w:t>
            </w:r>
            <w:r w:rsidRPr="00995B01">
              <w:rPr>
                <w:rFonts w:ascii="Times New Roman" w:hAnsi="Times New Roman" w:cs="Times New Roman"/>
                <w:noProof/>
                <w:webHidden/>
              </w:rPr>
              <w:fldChar w:fldCharType="end"/>
            </w:r>
          </w:hyperlink>
        </w:p>
        <w:p w:rsidR="00995B01" w:rsidRPr="00995B01" w:rsidRDefault="00EE56DA">
          <w:pPr>
            <w:pStyle w:val="Sumrio2"/>
            <w:tabs>
              <w:tab w:val="right" w:leader="dot" w:pos="9061"/>
            </w:tabs>
            <w:rPr>
              <w:rStyle w:val="Hyperlink"/>
              <w:rFonts w:ascii="Times New Roman" w:hAnsi="Times New Roman" w:cs="Times New Roman"/>
              <w:noProof/>
            </w:rPr>
          </w:pPr>
          <w:hyperlink w:anchor="_Toc333911379" w:history="1">
            <w:r w:rsidR="00995B01" w:rsidRPr="00995B01">
              <w:rPr>
                <w:rStyle w:val="Hyperlink"/>
                <w:rFonts w:ascii="Times New Roman" w:hAnsi="Times New Roman" w:cs="Times New Roman"/>
                <w:noProof/>
              </w:rPr>
              <w:t>3.4 Conclusões</w:t>
            </w:r>
            <w:r w:rsidR="00995B01" w:rsidRPr="00995B01">
              <w:rPr>
                <w:rFonts w:ascii="Times New Roman" w:hAnsi="Times New Roman" w:cs="Times New Roman"/>
                <w:noProof/>
                <w:webHidden/>
              </w:rPr>
              <w:tab/>
            </w:r>
            <w:r w:rsidRPr="00995B01">
              <w:rPr>
                <w:rFonts w:ascii="Times New Roman" w:hAnsi="Times New Roman" w:cs="Times New Roman"/>
                <w:noProof/>
                <w:webHidden/>
              </w:rPr>
              <w:fldChar w:fldCharType="begin"/>
            </w:r>
            <w:r w:rsidR="00995B01" w:rsidRPr="00995B01">
              <w:rPr>
                <w:rFonts w:ascii="Times New Roman" w:hAnsi="Times New Roman" w:cs="Times New Roman"/>
                <w:noProof/>
                <w:webHidden/>
              </w:rPr>
              <w:instrText xml:space="preserve"> PAGEREF _Toc333911379 \h </w:instrText>
            </w:r>
            <w:r w:rsidRPr="00995B01">
              <w:rPr>
                <w:rFonts w:ascii="Times New Roman" w:hAnsi="Times New Roman" w:cs="Times New Roman"/>
                <w:noProof/>
                <w:webHidden/>
              </w:rPr>
            </w:r>
            <w:r w:rsidRPr="00995B01">
              <w:rPr>
                <w:rFonts w:ascii="Times New Roman" w:hAnsi="Times New Roman" w:cs="Times New Roman"/>
                <w:noProof/>
                <w:webHidden/>
              </w:rPr>
              <w:fldChar w:fldCharType="separate"/>
            </w:r>
            <w:r w:rsidR="00413A55">
              <w:rPr>
                <w:rFonts w:ascii="Times New Roman" w:hAnsi="Times New Roman" w:cs="Times New Roman"/>
                <w:noProof/>
                <w:webHidden/>
              </w:rPr>
              <w:t>118</w:t>
            </w:r>
            <w:r w:rsidRPr="00995B01">
              <w:rPr>
                <w:rFonts w:ascii="Times New Roman" w:hAnsi="Times New Roman" w:cs="Times New Roman"/>
                <w:noProof/>
                <w:webHidden/>
              </w:rPr>
              <w:fldChar w:fldCharType="end"/>
            </w:r>
          </w:hyperlink>
        </w:p>
        <w:p w:rsidR="00995B01" w:rsidRPr="00995B01" w:rsidRDefault="00995B01" w:rsidP="00995B01">
          <w:pPr>
            <w:rPr>
              <w:rFonts w:ascii="Times New Roman" w:hAnsi="Times New Roman" w:cs="Times New Roman"/>
              <w:noProof/>
            </w:rPr>
          </w:pPr>
        </w:p>
        <w:p w:rsidR="00995B01" w:rsidRPr="00995B01" w:rsidRDefault="00EE56DA">
          <w:pPr>
            <w:pStyle w:val="Sumrio1"/>
            <w:rPr>
              <w:rStyle w:val="Hyperlink"/>
              <w:rFonts w:ascii="Times New Roman" w:hAnsi="Times New Roman"/>
            </w:rPr>
          </w:pPr>
          <w:hyperlink w:anchor="_Toc333911380" w:history="1">
            <w:r w:rsidR="00995B01" w:rsidRPr="00995B01">
              <w:rPr>
                <w:rStyle w:val="Hyperlink"/>
                <w:rFonts w:ascii="Times New Roman" w:hAnsi="Times New Roman"/>
              </w:rPr>
              <w:t>CONCLUSÃO</w:t>
            </w:r>
            <w:r w:rsidR="00995B01" w:rsidRPr="00995B01">
              <w:rPr>
                <w:rFonts w:ascii="Times New Roman" w:hAnsi="Times New Roman"/>
                <w:webHidden/>
              </w:rPr>
              <w:tab/>
            </w:r>
            <w:r w:rsidRPr="00995B01">
              <w:rPr>
                <w:rFonts w:ascii="Times New Roman" w:hAnsi="Times New Roman"/>
                <w:webHidden/>
              </w:rPr>
              <w:fldChar w:fldCharType="begin"/>
            </w:r>
            <w:r w:rsidR="00995B01" w:rsidRPr="00995B01">
              <w:rPr>
                <w:rFonts w:ascii="Times New Roman" w:hAnsi="Times New Roman"/>
                <w:webHidden/>
              </w:rPr>
              <w:instrText xml:space="preserve"> PAGEREF _Toc333911380 \h </w:instrText>
            </w:r>
            <w:r w:rsidRPr="00995B01">
              <w:rPr>
                <w:rFonts w:ascii="Times New Roman" w:hAnsi="Times New Roman"/>
                <w:webHidden/>
              </w:rPr>
            </w:r>
            <w:r w:rsidRPr="00995B01">
              <w:rPr>
                <w:rFonts w:ascii="Times New Roman" w:hAnsi="Times New Roman"/>
                <w:webHidden/>
              </w:rPr>
              <w:fldChar w:fldCharType="separate"/>
            </w:r>
            <w:r w:rsidR="00413A55">
              <w:rPr>
                <w:rFonts w:ascii="Times New Roman" w:hAnsi="Times New Roman"/>
                <w:webHidden/>
              </w:rPr>
              <w:t>120</w:t>
            </w:r>
            <w:r w:rsidRPr="00995B01">
              <w:rPr>
                <w:rFonts w:ascii="Times New Roman" w:hAnsi="Times New Roman"/>
                <w:webHidden/>
              </w:rPr>
              <w:fldChar w:fldCharType="end"/>
            </w:r>
          </w:hyperlink>
        </w:p>
        <w:p w:rsidR="00995B01" w:rsidRPr="00995B01" w:rsidRDefault="00995B01" w:rsidP="00995B01">
          <w:pPr>
            <w:rPr>
              <w:rFonts w:ascii="Times New Roman" w:hAnsi="Times New Roman" w:cs="Times New Roman"/>
              <w:noProof/>
              <w:lang w:val="pt-PT"/>
            </w:rPr>
          </w:pPr>
        </w:p>
        <w:p w:rsidR="00995B01" w:rsidRPr="00995B01" w:rsidRDefault="00EE56DA">
          <w:pPr>
            <w:pStyle w:val="Sumrio1"/>
            <w:rPr>
              <w:rFonts w:ascii="Times New Roman" w:eastAsiaTheme="minorEastAsia" w:hAnsi="Times New Roman"/>
              <w:caps w:val="0"/>
              <w:lang w:val="pt-BR" w:eastAsia="pt-BR"/>
            </w:rPr>
          </w:pPr>
          <w:hyperlink w:anchor="_Toc333911381" w:history="1">
            <w:r w:rsidR="00995B01" w:rsidRPr="00995B01">
              <w:rPr>
                <w:rStyle w:val="Hyperlink"/>
                <w:rFonts w:ascii="Times New Roman" w:hAnsi="Times New Roman"/>
                <w:lang w:val="en-US"/>
              </w:rPr>
              <w:t>REFERÊNCIAS</w:t>
            </w:r>
            <w:r w:rsidR="00995B01" w:rsidRPr="00995B01">
              <w:rPr>
                <w:rFonts w:ascii="Times New Roman" w:hAnsi="Times New Roman"/>
                <w:webHidden/>
              </w:rPr>
              <w:tab/>
            </w:r>
            <w:r w:rsidRPr="00995B01">
              <w:rPr>
                <w:rFonts w:ascii="Times New Roman" w:hAnsi="Times New Roman"/>
                <w:webHidden/>
              </w:rPr>
              <w:fldChar w:fldCharType="begin"/>
            </w:r>
            <w:r w:rsidR="00995B01" w:rsidRPr="00995B01">
              <w:rPr>
                <w:rFonts w:ascii="Times New Roman" w:hAnsi="Times New Roman"/>
                <w:webHidden/>
              </w:rPr>
              <w:instrText xml:space="preserve"> PAGEREF _Toc333911381 \h </w:instrText>
            </w:r>
            <w:r w:rsidRPr="00995B01">
              <w:rPr>
                <w:rFonts w:ascii="Times New Roman" w:hAnsi="Times New Roman"/>
                <w:webHidden/>
              </w:rPr>
            </w:r>
            <w:r w:rsidRPr="00995B01">
              <w:rPr>
                <w:rFonts w:ascii="Times New Roman" w:hAnsi="Times New Roman"/>
                <w:webHidden/>
              </w:rPr>
              <w:fldChar w:fldCharType="separate"/>
            </w:r>
            <w:r w:rsidR="00413A55">
              <w:rPr>
                <w:rFonts w:ascii="Times New Roman" w:hAnsi="Times New Roman"/>
                <w:webHidden/>
              </w:rPr>
              <w:t>123</w:t>
            </w:r>
            <w:r w:rsidRPr="00995B01">
              <w:rPr>
                <w:rFonts w:ascii="Times New Roman" w:hAnsi="Times New Roman"/>
                <w:webHidden/>
              </w:rPr>
              <w:fldChar w:fldCharType="end"/>
            </w:r>
          </w:hyperlink>
        </w:p>
        <w:p w:rsidR="004973EB" w:rsidRDefault="00EE56DA">
          <w:r w:rsidRPr="00995B01">
            <w:rPr>
              <w:rFonts w:ascii="Times New Roman" w:hAnsi="Times New Roman" w:cs="Times New Roman"/>
            </w:rPr>
            <w:fldChar w:fldCharType="end"/>
          </w:r>
        </w:p>
      </w:sdtContent>
    </w:sdt>
    <w:p w:rsidR="006950DB" w:rsidRDefault="00A07D9D">
      <w:pPr>
        <w:rPr>
          <w:rFonts w:cs="Times New Roman"/>
          <w:szCs w:val="24"/>
          <w:lang w:val="pt-PT"/>
        </w:rPr>
        <w:sectPr w:rsidR="006950DB" w:rsidSect="006950DB">
          <w:pgSz w:w="11906" w:h="16838"/>
          <w:pgMar w:top="1701" w:right="1134" w:bottom="1134" w:left="1701" w:header="708" w:footer="709" w:gutter="0"/>
          <w:pgNumType w:start="14"/>
          <w:cols w:space="708"/>
          <w:docGrid w:linePitch="360"/>
        </w:sectPr>
      </w:pPr>
      <w:r>
        <w:rPr>
          <w:rFonts w:cs="Times New Roman"/>
          <w:szCs w:val="24"/>
          <w:lang w:val="pt-PT"/>
        </w:rPr>
        <w:br w:type="page"/>
      </w:r>
    </w:p>
    <w:p w:rsidR="00120CA9" w:rsidRPr="00D367B9" w:rsidRDefault="00EC06C5" w:rsidP="00D367B9">
      <w:pPr>
        <w:pStyle w:val="Ttulo1"/>
      </w:pPr>
      <w:bookmarkStart w:id="0" w:name="_Toc333911330"/>
      <w:r w:rsidRPr="00D367B9">
        <w:lastRenderedPageBreak/>
        <w:t>Introdução</w:t>
      </w:r>
      <w:bookmarkEnd w:id="0"/>
      <w:r w:rsidR="00C7729C" w:rsidRPr="00D367B9">
        <w:t xml:space="preserve"> </w:t>
      </w:r>
    </w:p>
    <w:p w:rsidR="00C7729C" w:rsidRDefault="00C7729C" w:rsidP="009759A4">
      <w:pPr>
        <w:spacing w:line="360" w:lineRule="auto"/>
        <w:ind w:firstLine="708"/>
        <w:rPr>
          <w:rFonts w:ascii="Times New Roman" w:hAnsi="Times New Roman" w:cs="Times New Roman"/>
          <w:sz w:val="24"/>
          <w:szCs w:val="24"/>
          <w:lang w:val="pt-PT"/>
        </w:rPr>
      </w:pPr>
    </w:p>
    <w:p w:rsidR="009759A4" w:rsidRDefault="009759A4" w:rsidP="009759A4">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Durante a primeira década deste século, testemunhou-se uma </w:t>
      </w:r>
      <w:r>
        <w:rPr>
          <w:rFonts w:ascii="Times New Roman" w:hAnsi="Times New Roman" w:cs="Times New Roman"/>
          <w:sz w:val="24"/>
          <w:szCs w:val="24"/>
        </w:rPr>
        <w:t xml:space="preserve">sensível mudança nas legislações que regem as </w:t>
      </w:r>
      <w:r w:rsidR="00804E0E">
        <w:rPr>
          <w:rFonts w:ascii="Times New Roman" w:hAnsi="Times New Roman" w:cs="Times New Roman"/>
          <w:sz w:val="24"/>
          <w:szCs w:val="24"/>
        </w:rPr>
        <w:t>atividades do setor de energia em</w:t>
      </w:r>
      <w:r>
        <w:rPr>
          <w:rFonts w:ascii="Times New Roman" w:hAnsi="Times New Roman" w:cs="Times New Roman"/>
          <w:sz w:val="24"/>
          <w:szCs w:val="24"/>
        </w:rPr>
        <w:t xml:space="preserve"> nível mundial, sobretudo em relação às crescentes restrições impostas pelos órgãos ambientais</w:t>
      </w:r>
      <w:r w:rsidR="00804E0E">
        <w:rPr>
          <w:rFonts w:ascii="Times New Roman" w:hAnsi="Times New Roman" w:cs="Times New Roman"/>
          <w:sz w:val="24"/>
          <w:szCs w:val="24"/>
        </w:rPr>
        <w:t>, tanto em nível local, quanto</w:t>
      </w:r>
      <w:r w:rsidR="005A7ED7">
        <w:rPr>
          <w:rFonts w:ascii="Times New Roman" w:hAnsi="Times New Roman" w:cs="Times New Roman"/>
          <w:sz w:val="24"/>
          <w:szCs w:val="24"/>
        </w:rPr>
        <w:t xml:space="preserve"> global</w:t>
      </w:r>
      <w:r>
        <w:rPr>
          <w:rFonts w:ascii="Times New Roman" w:hAnsi="Times New Roman" w:cs="Times New Roman"/>
          <w:sz w:val="24"/>
          <w:szCs w:val="24"/>
        </w:rPr>
        <w:t>.</w:t>
      </w:r>
      <w:r w:rsidRPr="009759A4">
        <w:rPr>
          <w:rFonts w:ascii="Times New Roman" w:hAnsi="Times New Roman" w:cs="Times New Roman"/>
          <w:sz w:val="24"/>
          <w:szCs w:val="24"/>
        </w:rPr>
        <w:t xml:space="preserve"> </w:t>
      </w:r>
      <w:r>
        <w:rPr>
          <w:rFonts w:ascii="Times New Roman" w:hAnsi="Times New Roman" w:cs="Times New Roman"/>
          <w:sz w:val="24"/>
          <w:szCs w:val="24"/>
        </w:rPr>
        <w:t xml:space="preserve">Aliado </w:t>
      </w:r>
      <w:r w:rsidR="005A7ED7">
        <w:rPr>
          <w:rFonts w:ascii="Times New Roman" w:hAnsi="Times New Roman" w:cs="Times New Roman"/>
          <w:sz w:val="24"/>
          <w:szCs w:val="24"/>
        </w:rPr>
        <w:t xml:space="preserve">à </w:t>
      </w:r>
      <w:r>
        <w:rPr>
          <w:rFonts w:ascii="Times New Roman" w:hAnsi="Times New Roman" w:cs="Times New Roman"/>
          <w:sz w:val="24"/>
          <w:szCs w:val="24"/>
        </w:rPr>
        <w:t>concentrada distribuição das reservas de recur</w:t>
      </w:r>
      <w:r w:rsidR="005A7ED7">
        <w:rPr>
          <w:rFonts w:ascii="Times New Roman" w:hAnsi="Times New Roman" w:cs="Times New Roman"/>
          <w:sz w:val="24"/>
          <w:szCs w:val="24"/>
        </w:rPr>
        <w:t xml:space="preserve">sos fósseis entre </w:t>
      </w:r>
      <w:r w:rsidR="005F252B">
        <w:rPr>
          <w:rFonts w:ascii="Times New Roman" w:hAnsi="Times New Roman" w:cs="Times New Roman"/>
          <w:sz w:val="24"/>
          <w:szCs w:val="24"/>
        </w:rPr>
        <w:t xml:space="preserve">as </w:t>
      </w:r>
      <w:r w:rsidR="005A7ED7">
        <w:rPr>
          <w:rFonts w:ascii="Times New Roman" w:hAnsi="Times New Roman" w:cs="Times New Roman"/>
          <w:sz w:val="24"/>
          <w:szCs w:val="24"/>
        </w:rPr>
        <w:t>nações</w:t>
      </w:r>
      <w:r>
        <w:rPr>
          <w:rFonts w:ascii="Times New Roman" w:hAnsi="Times New Roman" w:cs="Times New Roman"/>
          <w:sz w:val="24"/>
          <w:szCs w:val="24"/>
        </w:rPr>
        <w:t>, o discurso do aquecimen</w:t>
      </w:r>
      <w:r w:rsidR="00F54369">
        <w:rPr>
          <w:rFonts w:ascii="Times New Roman" w:hAnsi="Times New Roman" w:cs="Times New Roman"/>
          <w:sz w:val="24"/>
          <w:szCs w:val="24"/>
        </w:rPr>
        <w:t>to global ganhou força na agenda de pesquisa energética, contribuindo para</w:t>
      </w:r>
      <w:r>
        <w:rPr>
          <w:rFonts w:ascii="Times New Roman" w:hAnsi="Times New Roman" w:cs="Times New Roman"/>
          <w:sz w:val="24"/>
          <w:szCs w:val="24"/>
        </w:rPr>
        <w:t xml:space="preserve"> a promoção de fontes renováveis de energia. </w:t>
      </w:r>
      <w:r w:rsidR="005A7ED7">
        <w:rPr>
          <w:rFonts w:ascii="Times New Roman" w:hAnsi="Times New Roman" w:cs="Times New Roman"/>
          <w:sz w:val="24"/>
          <w:szCs w:val="24"/>
          <w:lang w:val="pt-PT"/>
        </w:rPr>
        <w:t>Com isso, o</w:t>
      </w:r>
      <w:r w:rsidR="00B74640">
        <w:rPr>
          <w:rFonts w:ascii="Times New Roman" w:hAnsi="Times New Roman" w:cs="Times New Roman"/>
          <w:sz w:val="24"/>
          <w:szCs w:val="24"/>
          <w:lang w:val="pt-PT"/>
        </w:rPr>
        <w:t xml:space="preserve"> papel</w:t>
      </w:r>
      <w:r>
        <w:rPr>
          <w:rFonts w:ascii="Times New Roman" w:hAnsi="Times New Roman" w:cs="Times New Roman"/>
          <w:sz w:val="24"/>
          <w:szCs w:val="24"/>
          <w:lang w:val="pt-PT"/>
        </w:rPr>
        <w:t xml:space="preserve"> dos biocombustíveis</w:t>
      </w:r>
      <w:r w:rsidR="00B74640">
        <w:rPr>
          <w:rFonts w:ascii="Times New Roman" w:hAnsi="Times New Roman" w:cs="Times New Roman"/>
          <w:sz w:val="24"/>
          <w:szCs w:val="24"/>
          <w:lang w:val="pt-PT"/>
        </w:rPr>
        <w:t xml:space="preserve"> na oferta global de energia</w:t>
      </w:r>
      <w:r>
        <w:rPr>
          <w:rFonts w:ascii="Times New Roman" w:hAnsi="Times New Roman" w:cs="Times New Roman"/>
          <w:sz w:val="24"/>
          <w:szCs w:val="24"/>
          <w:lang w:val="pt-PT"/>
        </w:rPr>
        <w:t xml:space="preserve"> ocupou </w:t>
      </w:r>
      <w:r w:rsidR="00FC3A28">
        <w:rPr>
          <w:rFonts w:ascii="Times New Roman" w:hAnsi="Times New Roman" w:cs="Times New Roman"/>
          <w:sz w:val="24"/>
          <w:szCs w:val="24"/>
          <w:lang w:val="pt-PT"/>
        </w:rPr>
        <w:t xml:space="preserve">– e deverá continuar a ocupar nos próximos anos - </w:t>
      </w:r>
      <w:r>
        <w:rPr>
          <w:rFonts w:ascii="Times New Roman" w:hAnsi="Times New Roman" w:cs="Times New Roman"/>
          <w:sz w:val="24"/>
          <w:szCs w:val="24"/>
          <w:lang w:val="pt-PT"/>
        </w:rPr>
        <w:t>a pauta de discussão de cientistas de diversas áreas, formuladores de política, empresários e organizações da sociedade civil.</w:t>
      </w:r>
    </w:p>
    <w:p w:rsidR="00FC3A28" w:rsidRDefault="00FC3A28" w:rsidP="00FC3A28">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O relatório anual </w:t>
      </w:r>
      <w:r w:rsidRPr="0047240F">
        <w:rPr>
          <w:rFonts w:ascii="Times New Roman" w:hAnsi="Times New Roman" w:cs="Times New Roman"/>
          <w:i/>
          <w:sz w:val="24"/>
          <w:szCs w:val="24"/>
        </w:rPr>
        <w:t>World Energy Outlook 2010</w:t>
      </w:r>
      <w:r>
        <w:rPr>
          <w:rFonts w:ascii="Times New Roman" w:hAnsi="Times New Roman" w:cs="Times New Roman"/>
          <w:sz w:val="24"/>
          <w:szCs w:val="24"/>
        </w:rPr>
        <w:t>, publicado pela Agência Internacional de Energia, é bastante claro ao afirmar que o crescimento na demanda por energia virá quase que exclusivamente de países em desenvolvimento, onde a taxa de crescimento populacional é maior e o consumo de energia per capita se encontra bem abaixo da apresentada por países desenvolvidos. Sendo assim, muita atenção se volta para as políticas que China, Índia e Brasil, principalmente, estão adotando para administrar os recursos energéticos e as emissões</w:t>
      </w:r>
      <w:r w:rsidRPr="009516D2">
        <w:rPr>
          <w:rFonts w:ascii="Times New Roman" w:hAnsi="Times New Roman" w:cs="Times New Roman"/>
          <w:sz w:val="24"/>
          <w:szCs w:val="24"/>
        </w:rPr>
        <w:t xml:space="preserve"> </w:t>
      </w:r>
      <w:r>
        <w:rPr>
          <w:rFonts w:ascii="Times New Roman" w:hAnsi="Times New Roman" w:cs="Times New Roman"/>
          <w:sz w:val="24"/>
          <w:szCs w:val="24"/>
        </w:rPr>
        <w:t>associadas de gases de efeito estufa</w:t>
      </w:r>
      <w:r w:rsidR="00327193">
        <w:rPr>
          <w:rFonts w:ascii="Times New Roman" w:hAnsi="Times New Roman" w:cs="Times New Roman"/>
          <w:sz w:val="24"/>
          <w:szCs w:val="24"/>
        </w:rPr>
        <w:t xml:space="preserve"> (GEE)</w:t>
      </w:r>
      <w:r>
        <w:rPr>
          <w:rFonts w:ascii="Times New Roman" w:hAnsi="Times New Roman" w:cs="Times New Roman"/>
          <w:sz w:val="24"/>
          <w:szCs w:val="24"/>
        </w:rPr>
        <w:t>.</w:t>
      </w:r>
    </w:p>
    <w:p w:rsidR="00FC3A28" w:rsidRPr="00704BD1" w:rsidRDefault="00FC3A28" w:rsidP="00FC3A28">
      <w:pPr>
        <w:spacing w:line="360" w:lineRule="auto"/>
        <w:ind w:firstLine="708"/>
        <w:rPr>
          <w:rFonts w:ascii="Times New Roman" w:hAnsi="Times New Roman" w:cs="Times New Roman"/>
          <w:sz w:val="24"/>
          <w:szCs w:val="24"/>
        </w:rPr>
      </w:pPr>
      <w:r>
        <w:rPr>
          <w:rFonts w:ascii="Times New Roman" w:hAnsi="Times New Roman" w:cs="Times New Roman"/>
          <w:sz w:val="24"/>
          <w:szCs w:val="24"/>
        </w:rPr>
        <w:t>O Brasil tem realizado esforços para manter sua matriz energética relativamente limpa em comparação à média mundial. O Balanço Energético Nacional</w:t>
      </w:r>
      <w:r w:rsidR="000454D7">
        <w:rPr>
          <w:rFonts w:ascii="Times New Roman" w:hAnsi="Times New Roman" w:cs="Times New Roman"/>
          <w:sz w:val="24"/>
          <w:szCs w:val="24"/>
        </w:rPr>
        <w:t xml:space="preserve"> (BEN)</w:t>
      </w:r>
      <w:r w:rsidR="00D23B23">
        <w:rPr>
          <w:rFonts w:ascii="Times New Roman" w:hAnsi="Times New Roman" w:cs="Times New Roman"/>
          <w:sz w:val="24"/>
          <w:szCs w:val="24"/>
        </w:rPr>
        <w:t>,</w:t>
      </w:r>
      <w:r w:rsidR="00D23B23" w:rsidRPr="00D23B23">
        <w:rPr>
          <w:rFonts w:ascii="Times New Roman" w:hAnsi="Times New Roman" w:cs="Times New Roman"/>
          <w:sz w:val="24"/>
          <w:szCs w:val="24"/>
          <w:lang w:val="pt-PT"/>
        </w:rPr>
        <w:t xml:space="preserve"> </w:t>
      </w:r>
      <w:r w:rsidR="00D23B23">
        <w:rPr>
          <w:rFonts w:ascii="Times New Roman" w:hAnsi="Times New Roman" w:cs="Times New Roman"/>
          <w:sz w:val="24"/>
          <w:szCs w:val="24"/>
          <w:lang w:val="pt-PT"/>
        </w:rPr>
        <w:t>que contabiliza a oferta e consumo de energia no país</w:t>
      </w:r>
      <w:r>
        <w:rPr>
          <w:rFonts w:ascii="Times New Roman" w:hAnsi="Times New Roman" w:cs="Times New Roman"/>
          <w:sz w:val="24"/>
          <w:szCs w:val="24"/>
        </w:rPr>
        <w:t xml:space="preserve">, revela que as fontes renováveis de energia (energia hidráulica, produtos da cana, lenha e outras) responderam por 47% da produção de </w:t>
      </w:r>
      <w:r w:rsidR="00D23B23">
        <w:rPr>
          <w:rFonts w:ascii="Times New Roman" w:hAnsi="Times New Roman" w:cs="Times New Roman"/>
          <w:sz w:val="24"/>
          <w:szCs w:val="24"/>
        </w:rPr>
        <w:t xml:space="preserve">energia </w:t>
      </w:r>
      <w:r w:rsidR="00D23B23" w:rsidRPr="00704BD1">
        <w:rPr>
          <w:rFonts w:ascii="Times New Roman" w:hAnsi="Times New Roman" w:cs="Times New Roman"/>
          <w:sz w:val="24"/>
          <w:szCs w:val="24"/>
        </w:rPr>
        <w:t>primária no país em 2010</w:t>
      </w:r>
      <w:r w:rsidRPr="00704BD1">
        <w:rPr>
          <w:rFonts w:ascii="Times New Roman" w:hAnsi="Times New Roman" w:cs="Times New Roman"/>
          <w:sz w:val="24"/>
          <w:szCs w:val="24"/>
        </w:rPr>
        <w:t>.</w:t>
      </w:r>
    </w:p>
    <w:p w:rsidR="0055798F" w:rsidRPr="00704BD1" w:rsidRDefault="0055798F" w:rsidP="0055798F">
      <w:pPr>
        <w:spacing w:line="360" w:lineRule="auto"/>
        <w:ind w:firstLine="708"/>
        <w:rPr>
          <w:rFonts w:ascii="Times New Roman" w:hAnsi="Times New Roman" w:cs="Times New Roman"/>
          <w:sz w:val="24"/>
          <w:szCs w:val="24"/>
        </w:rPr>
      </w:pPr>
      <w:r w:rsidRPr="00704BD1">
        <w:rPr>
          <w:rFonts w:ascii="Times New Roman" w:hAnsi="Times New Roman" w:cs="Times New Roman"/>
          <w:sz w:val="24"/>
          <w:szCs w:val="24"/>
        </w:rPr>
        <w:t xml:space="preserve">A demanda por combustíveis para transporte responde pela maior parte do consumo de petróleo em diversos países e tem aumentado mais do que a demanda por energia durante as últimas décadas. À medida que se extinguem as reservas mais acessíveis, a expansão da produção se dá em regiões onde as condições de extração são mais complexas, exigindo em muitos casos o desenvolvimento de novas tecnologias e/ou fazendo com que os custos de produção e transporte aumentem. </w:t>
      </w:r>
    </w:p>
    <w:p w:rsidR="0055798F" w:rsidRPr="00704BD1" w:rsidRDefault="0055798F" w:rsidP="0055798F">
      <w:pPr>
        <w:spacing w:line="360" w:lineRule="auto"/>
        <w:ind w:firstLine="708"/>
        <w:rPr>
          <w:rFonts w:ascii="Times New Roman" w:hAnsi="Times New Roman" w:cs="Times New Roman"/>
          <w:sz w:val="24"/>
          <w:szCs w:val="24"/>
        </w:rPr>
      </w:pPr>
      <w:r w:rsidRPr="00704BD1">
        <w:rPr>
          <w:rFonts w:ascii="Times New Roman" w:hAnsi="Times New Roman" w:cs="Times New Roman"/>
          <w:sz w:val="24"/>
          <w:szCs w:val="24"/>
        </w:rPr>
        <w:t xml:space="preserve">De acordo como o relatório </w:t>
      </w:r>
      <w:r w:rsidRPr="00704BD1">
        <w:rPr>
          <w:rFonts w:ascii="Times New Roman" w:hAnsi="Times New Roman" w:cs="Times New Roman"/>
          <w:i/>
          <w:sz w:val="24"/>
          <w:szCs w:val="24"/>
        </w:rPr>
        <w:t>Technology Roadmap: Biofuels for Transport</w:t>
      </w:r>
      <w:r w:rsidRPr="00704BD1">
        <w:rPr>
          <w:rFonts w:ascii="Times New Roman" w:hAnsi="Times New Roman" w:cs="Times New Roman"/>
          <w:sz w:val="24"/>
          <w:szCs w:val="24"/>
        </w:rPr>
        <w:t xml:space="preserve"> (AIE, 2011), se o padrão de consumo energético se mantiver como hoje, as emissões de GEE vão mais que duplicar até 2050 e o aumento da demanda por petróleo aumentará ainda mais as preocupações com o aquecimento global.</w:t>
      </w:r>
    </w:p>
    <w:p w:rsidR="0055798F" w:rsidRPr="00704BD1" w:rsidRDefault="0055798F" w:rsidP="0055798F">
      <w:pPr>
        <w:spacing w:line="360" w:lineRule="auto"/>
        <w:ind w:firstLine="708"/>
        <w:rPr>
          <w:rFonts w:ascii="Times New Roman" w:hAnsi="Times New Roman" w:cs="Times New Roman"/>
          <w:sz w:val="24"/>
          <w:szCs w:val="24"/>
        </w:rPr>
      </w:pPr>
      <w:r w:rsidRPr="00704BD1">
        <w:rPr>
          <w:rFonts w:ascii="Times New Roman" w:hAnsi="Times New Roman" w:cs="Times New Roman"/>
          <w:sz w:val="24"/>
          <w:szCs w:val="24"/>
        </w:rPr>
        <w:lastRenderedPageBreak/>
        <w:t>Desse modo, os biocombustíveis se tornam parte da solução desse desequilíbrio, enquanto alternativas como as do carro elétrico e da célula a hidrogênio e tecnologias de captura e estocagem de CO</w:t>
      </w:r>
      <w:r w:rsidRPr="00704BD1">
        <w:rPr>
          <w:rFonts w:ascii="Times New Roman" w:hAnsi="Times New Roman" w:cs="Times New Roman"/>
          <w:sz w:val="24"/>
          <w:szCs w:val="24"/>
          <w:vertAlign w:val="subscript"/>
        </w:rPr>
        <w:t>2</w:t>
      </w:r>
      <w:r w:rsidRPr="00704BD1">
        <w:rPr>
          <w:rFonts w:ascii="Times New Roman" w:hAnsi="Times New Roman" w:cs="Times New Roman"/>
          <w:sz w:val="24"/>
          <w:szCs w:val="24"/>
        </w:rPr>
        <w:t xml:space="preserve"> não atingem maturidade tecnológica e a fase de comercialização ampla. Nos últimos anos, o consumo global de biocombustíveis, limitado praticamente ao setor de transporte rodoviário, aumentou cinco vezes entre 2000 e 2008, chegando a um milhão de barris por dia. Enquanto a demanda por petróleo no setor de transportes apresentou queda no ano de 2009, pela primeira vez desde 1980, devido a preços mais elevados e redução da atividade econômica, o consumo de biocombustíveis continuou aumentando com base na expansão da capacidade produtiva, apoiada pelo setor público na maioria dos países (AIE, 2010).</w:t>
      </w:r>
    </w:p>
    <w:p w:rsidR="00FC3A28" w:rsidRPr="00D23B23" w:rsidRDefault="00FC3A28" w:rsidP="00D23B23">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rPr>
        <w:t xml:space="preserve">Na década passada, a introdução </w:t>
      </w:r>
      <w:r w:rsidRPr="005B6F18">
        <w:rPr>
          <w:rFonts w:ascii="Times New Roman" w:hAnsi="Times New Roman" w:cs="Times New Roman"/>
          <w:sz w:val="24"/>
          <w:szCs w:val="24"/>
        </w:rPr>
        <w:t>dos veículos bicombustíveis</w:t>
      </w:r>
      <w:r w:rsidR="00B320A4">
        <w:rPr>
          <w:rFonts w:ascii="Times New Roman" w:hAnsi="Times New Roman" w:cs="Times New Roman"/>
          <w:sz w:val="24"/>
          <w:szCs w:val="24"/>
        </w:rPr>
        <w:t xml:space="preserve"> </w:t>
      </w:r>
      <w:r w:rsidR="00704659">
        <w:rPr>
          <w:rFonts w:ascii="Times New Roman" w:hAnsi="Times New Roman" w:cs="Times New Roman"/>
          <w:sz w:val="24"/>
          <w:szCs w:val="24"/>
        </w:rPr>
        <w:t>e</w:t>
      </w:r>
      <w:r w:rsidR="00327193">
        <w:rPr>
          <w:rFonts w:ascii="Times New Roman" w:hAnsi="Times New Roman" w:cs="Times New Roman"/>
          <w:sz w:val="24"/>
          <w:szCs w:val="24"/>
        </w:rPr>
        <w:t xml:space="preserve"> </w:t>
      </w:r>
      <w:r w:rsidRPr="00EF53AC">
        <w:rPr>
          <w:rFonts w:ascii="Times New Roman" w:hAnsi="Times New Roman" w:cs="Times New Roman"/>
          <w:sz w:val="24"/>
          <w:szCs w:val="24"/>
        </w:rPr>
        <w:t>o início da mistura obrigatória de biodiesel ao diesel mineral</w:t>
      </w:r>
      <w:r w:rsidR="00704659">
        <w:rPr>
          <w:rFonts w:ascii="Times New Roman" w:hAnsi="Times New Roman" w:cs="Times New Roman"/>
          <w:sz w:val="24"/>
          <w:szCs w:val="24"/>
        </w:rPr>
        <w:t xml:space="preserve"> fizeram</w:t>
      </w:r>
      <w:r>
        <w:rPr>
          <w:rFonts w:ascii="Times New Roman" w:hAnsi="Times New Roman" w:cs="Times New Roman"/>
          <w:sz w:val="24"/>
          <w:szCs w:val="24"/>
        </w:rPr>
        <w:t xml:space="preserve"> com que </w:t>
      </w:r>
      <w:r w:rsidRPr="00EF53AC">
        <w:rPr>
          <w:rFonts w:ascii="Times New Roman" w:hAnsi="Times New Roman" w:cs="Times New Roman"/>
          <w:sz w:val="24"/>
          <w:szCs w:val="24"/>
        </w:rPr>
        <w:t>o setor de biocombustíveis</w:t>
      </w:r>
      <w:r>
        <w:rPr>
          <w:rFonts w:ascii="Times New Roman" w:hAnsi="Times New Roman" w:cs="Times New Roman"/>
          <w:sz w:val="24"/>
          <w:szCs w:val="24"/>
        </w:rPr>
        <w:t xml:space="preserve"> ganhasse</w:t>
      </w:r>
      <w:r w:rsidRPr="00EF53AC">
        <w:rPr>
          <w:rFonts w:ascii="Times New Roman" w:hAnsi="Times New Roman" w:cs="Times New Roman"/>
          <w:sz w:val="24"/>
          <w:szCs w:val="24"/>
        </w:rPr>
        <w:t xml:space="preserve"> importância indiscutível </w:t>
      </w:r>
      <w:r>
        <w:rPr>
          <w:rFonts w:ascii="Times New Roman" w:hAnsi="Times New Roman" w:cs="Times New Roman"/>
          <w:sz w:val="24"/>
          <w:szCs w:val="24"/>
        </w:rPr>
        <w:t>n</w:t>
      </w:r>
      <w:r w:rsidRPr="00EF53AC">
        <w:rPr>
          <w:rFonts w:ascii="Times New Roman" w:hAnsi="Times New Roman" w:cs="Times New Roman"/>
          <w:sz w:val="24"/>
          <w:szCs w:val="24"/>
        </w:rPr>
        <w:t>a matriz energética</w:t>
      </w:r>
      <w:r>
        <w:rPr>
          <w:rFonts w:ascii="Times New Roman" w:hAnsi="Times New Roman" w:cs="Times New Roman"/>
          <w:sz w:val="24"/>
          <w:szCs w:val="24"/>
        </w:rPr>
        <w:t xml:space="preserve"> brasileira</w:t>
      </w:r>
      <w:r w:rsidRPr="00EF53AC">
        <w:rPr>
          <w:rFonts w:ascii="Times New Roman" w:hAnsi="Times New Roman" w:cs="Times New Roman"/>
          <w:sz w:val="24"/>
          <w:szCs w:val="24"/>
        </w:rPr>
        <w:t xml:space="preserve">. </w:t>
      </w:r>
      <w:r w:rsidR="00D23B23">
        <w:rPr>
          <w:rFonts w:ascii="Times New Roman" w:hAnsi="Times New Roman" w:cs="Times New Roman"/>
          <w:sz w:val="24"/>
          <w:szCs w:val="24"/>
          <w:lang w:val="pt-PT"/>
        </w:rPr>
        <w:t>Ainda se</w:t>
      </w:r>
      <w:r w:rsidR="003904D8">
        <w:rPr>
          <w:rFonts w:ascii="Times New Roman" w:hAnsi="Times New Roman" w:cs="Times New Roman"/>
          <w:sz w:val="24"/>
          <w:szCs w:val="24"/>
          <w:lang w:val="pt-PT"/>
        </w:rPr>
        <w:t>gundo o BEN 2011</w:t>
      </w:r>
      <w:r w:rsidR="00D23B23">
        <w:rPr>
          <w:rFonts w:ascii="Times New Roman" w:hAnsi="Times New Roman" w:cs="Times New Roman"/>
          <w:sz w:val="24"/>
          <w:szCs w:val="24"/>
          <w:lang w:val="pt-PT"/>
        </w:rPr>
        <w:t>, os produtos derivados da cana-de-açúcar foram responsáveis por cerca de 18% da</w:t>
      </w:r>
      <w:r w:rsidR="00086495">
        <w:rPr>
          <w:rFonts w:ascii="Times New Roman" w:hAnsi="Times New Roman" w:cs="Times New Roman"/>
          <w:sz w:val="24"/>
          <w:szCs w:val="24"/>
          <w:lang w:val="pt-PT"/>
        </w:rPr>
        <w:t xml:space="preserve"> Oferta Interna de Energia</w:t>
      </w:r>
      <w:r w:rsidR="00D23B23">
        <w:rPr>
          <w:rFonts w:ascii="Times New Roman" w:hAnsi="Times New Roman" w:cs="Times New Roman"/>
          <w:sz w:val="24"/>
          <w:szCs w:val="24"/>
          <w:lang w:val="pt-PT"/>
        </w:rPr>
        <w:t>, fazendo com que fossem a segunda categoria de energéticos mais demandada em 2010, e</w:t>
      </w:r>
      <w:r w:rsidR="00BF2FF2">
        <w:rPr>
          <w:rFonts w:ascii="Times New Roman" w:hAnsi="Times New Roman" w:cs="Times New Roman"/>
          <w:sz w:val="24"/>
          <w:szCs w:val="24"/>
          <w:lang w:val="pt-PT"/>
        </w:rPr>
        <w:t>nquanto</w:t>
      </w:r>
      <w:r w:rsidR="00D23B23">
        <w:rPr>
          <w:rFonts w:ascii="Times New Roman" w:hAnsi="Times New Roman" w:cs="Times New Roman"/>
          <w:sz w:val="24"/>
          <w:szCs w:val="24"/>
          <w:lang w:val="pt-PT"/>
        </w:rPr>
        <w:t xml:space="preserve"> a produção de biodiesel apresentou aumento de 49% em relação ao ano anterior, totalizando cerca de 2,4 bilhões de litros.</w:t>
      </w:r>
    </w:p>
    <w:p w:rsidR="004328DB" w:rsidRDefault="004328DB" w:rsidP="00FC3A28">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O </w:t>
      </w:r>
      <w:r w:rsidR="00327193">
        <w:rPr>
          <w:rFonts w:ascii="Times New Roman" w:hAnsi="Times New Roman" w:cs="Times New Roman"/>
          <w:sz w:val="24"/>
          <w:szCs w:val="24"/>
        </w:rPr>
        <w:t xml:space="preserve">próprio governo </w:t>
      </w:r>
      <w:r w:rsidR="00682693">
        <w:rPr>
          <w:rFonts w:ascii="Times New Roman" w:hAnsi="Times New Roman" w:cs="Times New Roman"/>
          <w:sz w:val="24"/>
          <w:szCs w:val="24"/>
        </w:rPr>
        <w:t xml:space="preserve">defende que o </w:t>
      </w:r>
      <w:r w:rsidR="00AA74DD">
        <w:rPr>
          <w:rFonts w:ascii="Times New Roman" w:hAnsi="Times New Roman" w:cs="Times New Roman"/>
          <w:sz w:val="24"/>
          <w:szCs w:val="24"/>
        </w:rPr>
        <w:t>fato de</w:t>
      </w:r>
      <w:r>
        <w:rPr>
          <w:rFonts w:ascii="Times New Roman" w:hAnsi="Times New Roman" w:cs="Times New Roman"/>
          <w:sz w:val="24"/>
          <w:szCs w:val="24"/>
        </w:rPr>
        <w:t xml:space="preserve"> os biocombustíveis conquista</w:t>
      </w:r>
      <w:r w:rsidR="00AA74DD">
        <w:rPr>
          <w:rFonts w:ascii="Times New Roman" w:hAnsi="Times New Roman" w:cs="Times New Roman"/>
          <w:sz w:val="24"/>
          <w:szCs w:val="24"/>
        </w:rPr>
        <w:t>re</w:t>
      </w:r>
      <w:r w:rsidR="003904D8">
        <w:rPr>
          <w:rFonts w:ascii="Times New Roman" w:hAnsi="Times New Roman" w:cs="Times New Roman"/>
          <w:sz w:val="24"/>
          <w:szCs w:val="24"/>
        </w:rPr>
        <w:t>m cada vez mais espaço nas carteiras</w:t>
      </w:r>
      <w:r>
        <w:rPr>
          <w:rFonts w:ascii="Times New Roman" w:hAnsi="Times New Roman" w:cs="Times New Roman"/>
          <w:sz w:val="24"/>
          <w:szCs w:val="24"/>
        </w:rPr>
        <w:t xml:space="preserve"> de investimento de grandes empresas petrolíferas, como Shell, BP e Total, é exemplo de que eles são</w:t>
      </w:r>
      <w:r w:rsidR="00AA74DD">
        <w:rPr>
          <w:rFonts w:ascii="Times New Roman" w:hAnsi="Times New Roman" w:cs="Times New Roman"/>
          <w:sz w:val="24"/>
          <w:szCs w:val="24"/>
        </w:rPr>
        <w:t>, atualmente,</w:t>
      </w:r>
      <w:r>
        <w:rPr>
          <w:rFonts w:ascii="Times New Roman" w:hAnsi="Times New Roman" w:cs="Times New Roman"/>
          <w:sz w:val="24"/>
          <w:szCs w:val="24"/>
        </w:rPr>
        <w:t xml:space="preserve"> a melhor opção</w:t>
      </w:r>
      <w:r w:rsidR="00AA74DD">
        <w:rPr>
          <w:rFonts w:ascii="Times New Roman" w:hAnsi="Times New Roman" w:cs="Times New Roman"/>
          <w:sz w:val="24"/>
          <w:szCs w:val="24"/>
        </w:rPr>
        <w:t xml:space="preserve"> </w:t>
      </w:r>
      <w:r>
        <w:rPr>
          <w:rFonts w:ascii="Times New Roman" w:hAnsi="Times New Roman" w:cs="Times New Roman"/>
          <w:sz w:val="24"/>
          <w:szCs w:val="24"/>
        </w:rPr>
        <w:t>para reduzir o conteúdo de carbono dos combustíveis, em misturas ou em substituição aos combustíveis fósseis (MME, 2010).</w:t>
      </w:r>
    </w:p>
    <w:p w:rsidR="00EC3888" w:rsidRPr="004E5683" w:rsidRDefault="00DF7088" w:rsidP="004E5683">
      <w:pPr>
        <w:spacing w:line="360" w:lineRule="auto"/>
        <w:ind w:firstLine="708"/>
        <w:rPr>
          <w:rFonts w:ascii="Times New Roman" w:hAnsi="Times New Roman" w:cs="Times New Roman"/>
          <w:sz w:val="24"/>
          <w:szCs w:val="24"/>
        </w:rPr>
      </w:pPr>
      <w:r>
        <w:rPr>
          <w:rFonts w:ascii="Times New Roman" w:hAnsi="Times New Roman" w:cs="Times New Roman"/>
          <w:sz w:val="24"/>
          <w:szCs w:val="24"/>
        </w:rPr>
        <w:t>O ponto de partida deste trabalho reside na importância que a produção de</w:t>
      </w:r>
      <w:r w:rsidR="00FC3A28">
        <w:rPr>
          <w:rFonts w:ascii="Times New Roman" w:hAnsi="Times New Roman" w:cs="Times New Roman"/>
          <w:sz w:val="24"/>
          <w:szCs w:val="24"/>
        </w:rPr>
        <w:t xml:space="preserve"> biocombustíveis </w:t>
      </w:r>
      <w:r>
        <w:rPr>
          <w:rFonts w:ascii="Times New Roman" w:hAnsi="Times New Roman" w:cs="Times New Roman"/>
          <w:sz w:val="24"/>
          <w:szCs w:val="24"/>
        </w:rPr>
        <w:t xml:space="preserve">adquire diante dos </w:t>
      </w:r>
      <w:r w:rsidR="00F36E08">
        <w:rPr>
          <w:rFonts w:ascii="Times New Roman" w:hAnsi="Times New Roman" w:cs="Times New Roman"/>
          <w:sz w:val="24"/>
          <w:szCs w:val="24"/>
        </w:rPr>
        <w:t>interesses da agroindústria, de</w:t>
      </w:r>
      <w:r w:rsidR="00FC3A28">
        <w:rPr>
          <w:rFonts w:ascii="Times New Roman" w:hAnsi="Times New Roman" w:cs="Times New Roman"/>
          <w:sz w:val="24"/>
          <w:szCs w:val="24"/>
        </w:rPr>
        <w:t xml:space="preserve"> </w:t>
      </w:r>
      <w:r w:rsidR="00FC3A28" w:rsidRPr="00EB01EE">
        <w:rPr>
          <w:rFonts w:ascii="Times New Roman" w:hAnsi="Times New Roman" w:cs="Times New Roman"/>
          <w:sz w:val="24"/>
          <w:szCs w:val="24"/>
        </w:rPr>
        <w:t>diversas políticas públicas</w:t>
      </w:r>
      <w:r>
        <w:rPr>
          <w:rFonts w:ascii="Times New Roman" w:hAnsi="Times New Roman" w:cs="Times New Roman"/>
          <w:sz w:val="24"/>
          <w:szCs w:val="24"/>
        </w:rPr>
        <w:t xml:space="preserve"> </w:t>
      </w:r>
      <w:r w:rsidR="005F1708">
        <w:rPr>
          <w:rFonts w:ascii="Times New Roman" w:hAnsi="Times New Roman" w:cs="Times New Roman"/>
          <w:sz w:val="24"/>
          <w:szCs w:val="24"/>
        </w:rPr>
        <w:t xml:space="preserve">para o setor </w:t>
      </w:r>
      <w:r>
        <w:rPr>
          <w:rFonts w:ascii="Times New Roman" w:hAnsi="Times New Roman" w:cs="Times New Roman"/>
          <w:sz w:val="24"/>
          <w:szCs w:val="24"/>
        </w:rPr>
        <w:t>e da sociedade civil</w:t>
      </w:r>
      <w:r w:rsidR="00D47BE0">
        <w:rPr>
          <w:rFonts w:ascii="Times New Roman" w:hAnsi="Times New Roman" w:cs="Times New Roman"/>
          <w:sz w:val="24"/>
          <w:szCs w:val="24"/>
        </w:rPr>
        <w:t>, e no fato de que tais interesses nem sempre são convergentes. Além da própria coordenação no nível político, o sucesso de programas energéticos depende da boa articulação entre o setor público e o priv</w:t>
      </w:r>
      <w:r w:rsidR="00340E3C">
        <w:rPr>
          <w:rFonts w:ascii="Times New Roman" w:hAnsi="Times New Roman" w:cs="Times New Roman"/>
          <w:sz w:val="24"/>
          <w:szCs w:val="24"/>
        </w:rPr>
        <w:t xml:space="preserve">ado, o que nos permite afirmar </w:t>
      </w:r>
      <w:r w:rsidR="00D47BE0">
        <w:rPr>
          <w:rFonts w:ascii="Times New Roman" w:hAnsi="Times New Roman" w:cs="Times New Roman"/>
          <w:sz w:val="24"/>
          <w:szCs w:val="24"/>
        </w:rPr>
        <w:t>que a indústria evolui co</w:t>
      </w:r>
      <w:r w:rsidR="00F36E08">
        <w:rPr>
          <w:rFonts w:ascii="Times New Roman" w:hAnsi="Times New Roman" w:cs="Times New Roman"/>
          <w:sz w:val="24"/>
          <w:szCs w:val="24"/>
        </w:rPr>
        <w:t xml:space="preserve">njuntamente com as instituições, formais e informais, </w:t>
      </w:r>
      <w:r w:rsidR="00D47BE0">
        <w:rPr>
          <w:rFonts w:ascii="Times New Roman" w:hAnsi="Times New Roman" w:cs="Times New Roman"/>
          <w:sz w:val="24"/>
          <w:szCs w:val="24"/>
        </w:rPr>
        <w:t xml:space="preserve">que a sustentam. </w:t>
      </w:r>
    </w:p>
    <w:p w:rsidR="00552AA9" w:rsidRDefault="00EC3888" w:rsidP="00EC3888">
      <w:pPr>
        <w:spacing w:line="360" w:lineRule="auto"/>
        <w:ind w:firstLine="708"/>
        <w:rPr>
          <w:rFonts w:ascii="Times New Roman" w:hAnsi="Times New Roman"/>
          <w:sz w:val="24"/>
          <w:szCs w:val="24"/>
        </w:rPr>
      </w:pPr>
      <w:r>
        <w:rPr>
          <w:rFonts w:ascii="Times New Roman" w:hAnsi="Times New Roman"/>
          <w:sz w:val="24"/>
          <w:szCs w:val="24"/>
        </w:rPr>
        <w:t>A</w:t>
      </w:r>
      <w:r w:rsidR="005F1708">
        <w:rPr>
          <w:rFonts w:ascii="Times New Roman" w:hAnsi="Times New Roman"/>
          <w:sz w:val="24"/>
          <w:szCs w:val="24"/>
        </w:rPr>
        <w:t>o longo das últimas décadas, a indústria sucroalcooleira foi capaz de</w:t>
      </w:r>
      <w:r w:rsidR="005F1708" w:rsidRPr="00196658">
        <w:rPr>
          <w:rFonts w:ascii="Times New Roman" w:hAnsi="Times New Roman"/>
          <w:sz w:val="24"/>
          <w:szCs w:val="24"/>
        </w:rPr>
        <w:t xml:space="preserve"> articular seus interesses com </w:t>
      </w:r>
      <w:r w:rsidR="005F1708">
        <w:rPr>
          <w:rFonts w:ascii="Times New Roman" w:hAnsi="Times New Roman"/>
          <w:sz w:val="24"/>
          <w:szCs w:val="24"/>
        </w:rPr>
        <w:t xml:space="preserve">os de </w:t>
      </w:r>
      <w:r w:rsidR="005F1708" w:rsidRPr="00196658">
        <w:rPr>
          <w:rFonts w:ascii="Times New Roman" w:hAnsi="Times New Roman"/>
          <w:sz w:val="24"/>
          <w:szCs w:val="24"/>
        </w:rPr>
        <w:t>outros se</w:t>
      </w:r>
      <w:r w:rsidR="005F1708">
        <w:rPr>
          <w:rFonts w:ascii="Times New Roman" w:hAnsi="Times New Roman"/>
          <w:sz w:val="24"/>
          <w:szCs w:val="24"/>
        </w:rPr>
        <w:t>tores da economia, inclusive d</w:t>
      </w:r>
      <w:r w:rsidR="005F1708" w:rsidRPr="00196658">
        <w:rPr>
          <w:rFonts w:ascii="Times New Roman" w:hAnsi="Times New Roman"/>
          <w:sz w:val="24"/>
          <w:szCs w:val="24"/>
        </w:rPr>
        <w:t>o governo. A implantação do Programa Proálcool</w:t>
      </w:r>
      <w:r w:rsidR="005F1708">
        <w:rPr>
          <w:rFonts w:ascii="Times New Roman" w:hAnsi="Times New Roman"/>
          <w:sz w:val="24"/>
          <w:szCs w:val="24"/>
        </w:rPr>
        <w:t xml:space="preserve"> durante a década de 1970</w:t>
      </w:r>
      <w:r w:rsidR="00817236">
        <w:rPr>
          <w:rFonts w:ascii="Times New Roman" w:hAnsi="Times New Roman"/>
          <w:sz w:val="24"/>
          <w:szCs w:val="24"/>
        </w:rPr>
        <w:t>, cujo objetivo principal</w:t>
      </w:r>
      <w:r w:rsidR="005F1708" w:rsidRPr="00196658">
        <w:rPr>
          <w:rFonts w:ascii="Times New Roman" w:hAnsi="Times New Roman"/>
          <w:sz w:val="24"/>
          <w:szCs w:val="24"/>
        </w:rPr>
        <w:t xml:space="preserve"> era contornar o problema da dependência energética que se tornou mais proeminente com a crise do petróleo, foi exemplo dessa articulação de interesses.</w:t>
      </w:r>
      <w:r w:rsidR="00817236">
        <w:rPr>
          <w:rFonts w:ascii="Times New Roman" w:hAnsi="Times New Roman"/>
          <w:sz w:val="24"/>
          <w:szCs w:val="24"/>
        </w:rPr>
        <w:t xml:space="preserve"> </w:t>
      </w:r>
    </w:p>
    <w:p w:rsidR="00F36E08" w:rsidRDefault="00F36E08" w:rsidP="00FC3A28">
      <w:pPr>
        <w:spacing w:line="360" w:lineRule="auto"/>
        <w:ind w:firstLine="708"/>
        <w:rPr>
          <w:rFonts w:ascii="Times New Roman" w:hAnsi="Times New Roman"/>
          <w:sz w:val="24"/>
          <w:szCs w:val="24"/>
        </w:rPr>
      </w:pPr>
      <w:r>
        <w:rPr>
          <w:rFonts w:ascii="Times New Roman" w:hAnsi="Times New Roman"/>
          <w:sz w:val="24"/>
          <w:szCs w:val="24"/>
        </w:rPr>
        <w:lastRenderedPageBreak/>
        <w:t>Críticas à produção de cana-de-açúcar em larga escala com relação aos danos ambientais, oriundos da prática da monocultura</w:t>
      </w:r>
      <w:r w:rsidR="00F40DC2">
        <w:rPr>
          <w:rFonts w:ascii="Times New Roman" w:hAnsi="Times New Roman"/>
          <w:sz w:val="24"/>
          <w:szCs w:val="24"/>
        </w:rPr>
        <w:t xml:space="preserve"> e</w:t>
      </w:r>
      <w:r>
        <w:rPr>
          <w:rFonts w:ascii="Times New Roman" w:hAnsi="Times New Roman"/>
          <w:sz w:val="24"/>
          <w:szCs w:val="24"/>
        </w:rPr>
        <w:t xml:space="preserve"> </w:t>
      </w:r>
      <w:r w:rsidR="00F40DC2">
        <w:rPr>
          <w:rFonts w:ascii="Times New Roman" w:hAnsi="Times New Roman"/>
          <w:sz w:val="24"/>
          <w:szCs w:val="24"/>
        </w:rPr>
        <w:t xml:space="preserve">da queima da cana </w:t>
      </w:r>
      <w:r>
        <w:rPr>
          <w:rFonts w:ascii="Times New Roman" w:hAnsi="Times New Roman"/>
          <w:sz w:val="24"/>
          <w:szCs w:val="24"/>
        </w:rPr>
        <w:t xml:space="preserve">já </w:t>
      </w:r>
      <w:r w:rsidR="009621DC">
        <w:rPr>
          <w:rFonts w:ascii="Times New Roman" w:hAnsi="Times New Roman"/>
          <w:sz w:val="24"/>
          <w:szCs w:val="24"/>
        </w:rPr>
        <w:t>existiam</w:t>
      </w:r>
      <w:r>
        <w:rPr>
          <w:rFonts w:ascii="Times New Roman" w:hAnsi="Times New Roman"/>
          <w:sz w:val="24"/>
          <w:szCs w:val="24"/>
        </w:rPr>
        <w:t xml:space="preserve"> àquela época</w:t>
      </w:r>
      <w:r w:rsidR="00851540">
        <w:rPr>
          <w:rStyle w:val="Refdenotaderodap"/>
          <w:rFonts w:ascii="Times New Roman" w:hAnsi="Times New Roman"/>
          <w:sz w:val="24"/>
          <w:szCs w:val="24"/>
        </w:rPr>
        <w:footnoteReference w:id="1"/>
      </w:r>
      <w:r>
        <w:rPr>
          <w:rFonts w:ascii="Times New Roman" w:hAnsi="Times New Roman"/>
          <w:sz w:val="24"/>
          <w:szCs w:val="24"/>
        </w:rPr>
        <w:t xml:space="preserve">. Com o rápido aumento da produção de etanol nos anos 2000, </w:t>
      </w:r>
      <w:r w:rsidR="009621DC">
        <w:rPr>
          <w:rFonts w:ascii="Times New Roman" w:hAnsi="Times New Roman"/>
          <w:sz w:val="24"/>
          <w:szCs w:val="24"/>
        </w:rPr>
        <w:t>elas</w:t>
      </w:r>
      <w:r>
        <w:rPr>
          <w:rFonts w:ascii="Times New Roman" w:hAnsi="Times New Roman"/>
          <w:sz w:val="24"/>
          <w:szCs w:val="24"/>
        </w:rPr>
        <w:t xml:space="preserve"> ganharam força ainda maior. Não só no Brasil, a produção de biocombustíveis é critica</w:t>
      </w:r>
      <w:r w:rsidR="009621DC">
        <w:rPr>
          <w:rFonts w:ascii="Times New Roman" w:hAnsi="Times New Roman"/>
          <w:sz w:val="24"/>
          <w:szCs w:val="24"/>
        </w:rPr>
        <w:t>da pela concorrência por</w:t>
      </w:r>
      <w:r w:rsidR="003567B4">
        <w:rPr>
          <w:rFonts w:ascii="Times New Roman" w:hAnsi="Times New Roman"/>
          <w:sz w:val="24"/>
          <w:szCs w:val="24"/>
        </w:rPr>
        <w:t xml:space="preserve"> água e</w:t>
      </w:r>
      <w:r w:rsidR="003904D8">
        <w:rPr>
          <w:rFonts w:ascii="Times New Roman" w:hAnsi="Times New Roman"/>
          <w:sz w:val="24"/>
          <w:szCs w:val="24"/>
        </w:rPr>
        <w:t xml:space="preserve"> terras agricultáveis</w:t>
      </w:r>
      <w:r w:rsidR="009621DC">
        <w:rPr>
          <w:rFonts w:ascii="Times New Roman" w:hAnsi="Times New Roman"/>
          <w:sz w:val="24"/>
          <w:szCs w:val="24"/>
        </w:rPr>
        <w:t xml:space="preserve"> com a produção de alimentos e pelo deslocamento de</w:t>
      </w:r>
      <w:r w:rsidR="00C57217">
        <w:rPr>
          <w:rFonts w:ascii="Times New Roman" w:hAnsi="Times New Roman"/>
          <w:sz w:val="24"/>
          <w:szCs w:val="24"/>
        </w:rPr>
        <w:t xml:space="preserve"> o</w:t>
      </w:r>
      <w:r w:rsidR="009621DC">
        <w:rPr>
          <w:rFonts w:ascii="Times New Roman" w:hAnsi="Times New Roman"/>
          <w:sz w:val="24"/>
          <w:szCs w:val="24"/>
        </w:rPr>
        <w:t>utras culturas</w:t>
      </w:r>
      <w:r w:rsidR="00C57217">
        <w:rPr>
          <w:rFonts w:ascii="Times New Roman" w:hAnsi="Times New Roman"/>
          <w:sz w:val="24"/>
          <w:szCs w:val="24"/>
        </w:rPr>
        <w:t xml:space="preserve">, eventualmente contribuindo para </w:t>
      </w:r>
      <w:r w:rsidR="00851540">
        <w:rPr>
          <w:rFonts w:ascii="Times New Roman" w:hAnsi="Times New Roman"/>
          <w:sz w:val="24"/>
          <w:szCs w:val="24"/>
        </w:rPr>
        <w:t xml:space="preserve">o aumento do desmatamento e das </w:t>
      </w:r>
      <w:r w:rsidR="00C57217">
        <w:rPr>
          <w:rFonts w:ascii="Times New Roman" w:hAnsi="Times New Roman"/>
          <w:sz w:val="24"/>
          <w:szCs w:val="24"/>
        </w:rPr>
        <w:t>emiss</w:t>
      </w:r>
      <w:r w:rsidR="001106C3">
        <w:rPr>
          <w:rFonts w:ascii="Times New Roman" w:hAnsi="Times New Roman"/>
          <w:sz w:val="24"/>
          <w:szCs w:val="24"/>
        </w:rPr>
        <w:t xml:space="preserve">ões de GEE. </w:t>
      </w:r>
      <w:r w:rsidR="009621DC">
        <w:rPr>
          <w:rFonts w:ascii="Times New Roman" w:hAnsi="Times New Roman"/>
          <w:sz w:val="24"/>
          <w:szCs w:val="24"/>
        </w:rPr>
        <w:t xml:space="preserve">Já </w:t>
      </w:r>
      <w:r w:rsidR="001106C3">
        <w:rPr>
          <w:rFonts w:ascii="Times New Roman" w:hAnsi="Times New Roman"/>
          <w:sz w:val="24"/>
          <w:szCs w:val="24"/>
        </w:rPr>
        <w:t>as críticas às</w:t>
      </w:r>
      <w:r w:rsidR="009621DC">
        <w:rPr>
          <w:rFonts w:ascii="Times New Roman" w:hAnsi="Times New Roman"/>
          <w:sz w:val="24"/>
          <w:szCs w:val="24"/>
        </w:rPr>
        <w:t xml:space="preserve"> condições</w:t>
      </w:r>
      <w:r w:rsidR="001106C3">
        <w:rPr>
          <w:rFonts w:ascii="Times New Roman" w:hAnsi="Times New Roman"/>
          <w:sz w:val="24"/>
          <w:szCs w:val="24"/>
        </w:rPr>
        <w:t xml:space="preserve"> de trabalho no campo tendem a perder força,</w:t>
      </w:r>
      <w:r w:rsidR="009621DC">
        <w:rPr>
          <w:rFonts w:ascii="Times New Roman" w:hAnsi="Times New Roman"/>
          <w:sz w:val="24"/>
          <w:szCs w:val="24"/>
        </w:rPr>
        <w:t xml:space="preserve"> à medida que a colheita da cana-de-açúcar passa </w:t>
      </w:r>
      <w:r w:rsidR="003904D8">
        <w:rPr>
          <w:rFonts w:ascii="Times New Roman" w:hAnsi="Times New Roman"/>
          <w:sz w:val="24"/>
          <w:szCs w:val="24"/>
        </w:rPr>
        <w:t>do método</w:t>
      </w:r>
      <w:r w:rsidR="001106C3">
        <w:rPr>
          <w:rFonts w:ascii="Times New Roman" w:hAnsi="Times New Roman"/>
          <w:sz w:val="24"/>
          <w:szCs w:val="24"/>
        </w:rPr>
        <w:t xml:space="preserve"> manual para</w:t>
      </w:r>
      <w:r w:rsidR="003904D8">
        <w:rPr>
          <w:rFonts w:ascii="Times New Roman" w:hAnsi="Times New Roman"/>
          <w:sz w:val="24"/>
          <w:szCs w:val="24"/>
        </w:rPr>
        <w:t xml:space="preserve"> o mecanizado</w:t>
      </w:r>
      <w:r w:rsidR="001106C3">
        <w:rPr>
          <w:rFonts w:ascii="Times New Roman" w:hAnsi="Times New Roman"/>
          <w:sz w:val="24"/>
          <w:szCs w:val="24"/>
        </w:rPr>
        <w:t>.</w:t>
      </w:r>
    </w:p>
    <w:p w:rsidR="00F40DC2" w:rsidRDefault="00D51032" w:rsidP="003904D8">
      <w:pPr>
        <w:spacing w:line="360" w:lineRule="auto"/>
        <w:ind w:firstLine="708"/>
        <w:rPr>
          <w:rFonts w:ascii="Times New Roman" w:hAnsi="Times New Roman"/>
          <w:sz w:val="24"/>
          <w:szCs w:val="24"/>
        </w:rPr>
      </w:pPr>
      <w:r>
        <w:rPr>
          <w:rFonts w:ascii="Times New Roman" w:hAnsi="Times New Roman"/>
          <w:sz w:val="24"/>
          <w:szCs w:val="24"/>
        </w:rPr>
        <w:t xml:space="preserve">A fim de contornar problemas como </w:t>
      </w:r>
      <w:r w:rsidR="008B094A">
        <w:rPr>
          <w:rFonts w:ascii="Times New Roman" w:hAnsi="Times New Roman"/>
          <w:sz w:val="24"/>
          <w:szCs w:val="24"/>
        </w:rPr>
        <w:t>a disponibilidade de matéria-prima (que está associada à competição por recursos com a produção de alimentos) e a possibilidade de balanços energéticos</w:t>
      </w:r>
      <w:r w:rsidR="001E409D">
        <w:rPr>
          <w:rStyle w:val="Refdenotaderodap"/>
          <w:rFonts w:ascii="Times New Roman" w:hAnsi="Times New Roman"/>
          <w:sz w:val="24"/>
          <w:szCs w:val="24"/>
        </w:rPr>
        <w:footnoteReference w:id="2"/>
      </w:r>
      <w:r w:rsidR="00EC3888">
        <w:rPr>
          <w:rFonts w:ascii="Times New Roman" w:hAnsi="Times New Roman"/>
          <w:sz w:val="24"/>
          <w:szCs w:val="24"/>
        </w:rPr>
        <w:t xml:space="preserve"> pouco favoráveis</w:t>
      </w:r>
      <w:r w:rsidR="008B094A">
        <w:rPr>
          <w:rFonts w:ascii="Times New Roman" w:hAnsi="Times New Roman"/>
          <w:sz w:val="24"/>
          <w:szCs w:val="24"/>
        </w:rPr>
        <w:t>, diversos projeto</w:t>
      </w:r>
      <w:r w:rsidR="003904D8">
        <w:rPr>
          <w:rFonts w:ascii="Times New Roman" w:hAnsi="Times New Roman"/>
          <w:sz w:val="24"/>
          <w:szCs w:val="24"/>
        </w:rPr>
        <w:t>s</w:t>
      </w:r>
      <w:r w:rsidR="00EC3888">
        <w:rPr>
          <w:rFonts w:ascii="Times New Roman" w:hAnsi="Times New Roman"/>
          <w:sz w:val="24"/>
          <w:szCs w:val="24"/>
        </w:rPr>
        <w:t xml:space="preserve"> de inovação</w:t>
      </w:r>
      <w:r w:rsidR="00F40DC2">
        <w:rPr>
          <w:rFonts w:ascii="Times New Roman" w:hAnsi="Times New Roman"/>
          <w:sz w:val="24"/>
          <w:szCs w:val="24"/>
        </w:rPr>
        <w:t xml:space="preserve"> estão</w:t>
      </w:r>
      <w:r>
        <w:rPr>
          <w:rFonts w:ascii="Times New Roman" w:hAnsi="Times New Roman"/>
          <w:sz w:val="24"/>
          <w:szCs w:val="24"/>
        </w:rPr>
        <w:t xml:space="preserve"> em andamento para desenvolv</w:t>
      </w:r>
      <w:r w:rsidR="00EC3888">
        <w:rPr>
          <w:rFonts w:ascii="Times New Roman" w:hAnsi="Times New Roman"/>
          <w:sz w:val="24"/>
          <w:szCs w:val="24"/>
        </w:rPr>
        <w:t>er novos processos e produtos, além de aproveitar a matéria-prima de forma integral</w:t>
      </w:r>
      <w:r>
        <w:rPr>
          <w:rFonts w:ascii="Times New Roman" w:hAnsi="Times New Roman"/>
          <w:sz w:val="24"/>
          <w:szCs w:val="24"/>
        </w:rPr>
        <w:t>.</w:t>
      </w:r>
      <w:r w:rsidR="003904D8">
        <w:rPr>
          <w:rFonts w:ascii="Times New Roman" w:hAnsi="Times New Roman"/>
          <w:sz w:val="24"/>
          <w:szCs w:val="24"/>
        </w:rPr>
        <w:t xml:space="preserve"> É</w:t>
      </w:r>
      <w:r w:rsidR="00F40DC2">
        <w:rPr>
          <w:rFonts w:ascii="Times New Roman" w:hAnsi="Times New Roman"/>
          <w:sz w:val="24"/>
          <w:szCs w:val="24"/>
        </w:rPr>
        <w:t xml:space="preserve"> de interesse da sociedade como um todo que esses produtos substituam os combustíveis utilizados atualmente, atendendo à demanda energética com menor poluição. </w:t>
      </w:r>
      <w:r w:rsidR="00EC3888">
        <w:rPr>
          <w:rFonts w:ascii="Times New Roman" w:hAnsi="Times New Roman"/>
          <w:sz w:val="24"/>
          <w:szCs w:val="24"/>
        </w:rPr>
        <w:t>Por outro lado, podem existir</w:t>
      </w:r>
      <w:r w:rsidR="002D46A1">
        <w:rPr>
          <w:rFonts w:ascii="Times New Roman" w:hAnsi="Times New Roman"/>
          <w:sz w:val="24"/>
          <w:szCs w:val="24"/>
        </w:rPr>
        <w:t xml:space="preserve"> atores sociais</w:t>
      </w:r>
      <w:r w:rsidR="0041593D">
        <w:rPr>
          <w:rFonts w:ascii="Times New Roman" w:hAnsi="Times New Roman"/>
          <w:sz w:val="24"/>
          <w:szCs w:val="24"/>
        </w:rPr>
        <w:t xml:space="preserve"> resistentes a essas iniciativas.</w:t>
      </w:r>
    </w:p>
    <w:p w:rsidR="00AA7045" w:rsidRDefault="003904D8" w:rsidP="00AA7045">
      <w:pPr>
        <w:spacing w:line="360" w:lineRule="auto"/>
        <w:ind w:firstLine="708"/>
        <w:rPr>
          <w:rFonts w:ascii="Times New Roman" w:hAnsi="Times New Roman"/>
          <w:sz w:val="24"/>
          <w:szCs w:val="24"/>
        </w:rPr>
      </w:pPr>
      <w:r>
        <w:rPr>
          <w:rFonts w:ascii="Times New Roman" w:hAnsi="Times New Roman"/>
          <w:sz w:val="24"/>
          <w:szCs w:val="24"/>
        </w:rPr>
        <w:t>O problema</w:t>
      </w:r>
      <w:r w:rsidR="0041593D">
        <w:rPr>
          <w:rFonts w:ascii="Times New Roman" w:hAnsi="Times New Roman"/>
          <w:sz w:val="24"/>
          <w:szCs w:val="24"/>
        </w:rPr>
        <w:t xml:space="preserve"> para o qual se chama atenção neste trabalho tem a ver com o fato de que o</w:t>
      </w:r>
      <w:r w:rsidR="00F40DC2">
        <w:rPr>
          <w:rFonts w:ascii="Times New Roman" w:hAnsi="Times New Roman"/>
          <w:sz w:val="24"/>
          <w:szCs w:val="24"/>
        </w:rPr>
        <w:t xml:space="preserve"> desenvolvimento te</w:t>
      </w:r>
      <w:r w:rsidR="0041593D">
        <w:rPr>
          <w:rFonts w:ascii="Times New Roman" w:hAnsi="Times New Roman"/>
          <w:sz w:val="24"/>
          <w:szCs w:val="24"/>
        </w:rPr>
        <w:t>cnológico</w:t>
      </w:r>
      <w:r w:rsidR="00E43DFE">
        <w:rPr>
          <w:rFonts w:ascii="Times New Roman" w:hAnsi="Times New Roman"/>
          <w:sz w:val="24"/>
          <w:szCs w:val="24"/>
        </w:rPr>
        <w:t xml:space="preserve"> associado à dinâmica de inovação industrial</w:t>
      </w:r>
      <w:r w:rsidR="0041593D">
        <w:rPr>
          <w:rFonts w:ascii="Times New Roman" w:hAnsi="Times New Roman"/>
          <w:sz w:val="24"/>
          <w:szCs w:val="24"/>
        </w:rPr>
        <w:t xml:space="preserve"> depende</w:t>
      </w:r>
      <w:r w:rsidR="00F40DC2">
        <w:rPr>
          <w:rFonts w:ascii="Times New Roman" w:hAnsi="Times New Roman"/>
          <w:sz w:val="24"/>
          <w:szCs w:val="24"/>
        </w:rPr>
        <w:t xml:space="preserve"> não só das capacitações acumuladas d</w:t>
      </w:r>
      <w:r w:rsidR="0041593D">
        <w:rPr>
          <w:rFonts w:ascii="Times New Roman" w:hAnsi="Times New Roman"/>
          <w:sz w:val="24"/>
          <w:szCs w:val="24"/>
        </w:rPr>
        <w:t>entro das firmas, mas também de elementos que alguns autores tratam como sistêmicos, por fazerem parte de um sistema sócio-técnico</w:t>
      </w:r>
      <w:r w:rsidR="006C1BF3">
        <w:rPr>
          <w:rFonts w:ascii="Times New Roman" w:hAnsi="Times New Roman"/>
          <w:sz w:val="24"/>
          <w:szCs w:val="24"/>
        </w:rPr>
        <w:t xml:space="preserve"> (GEELS, 2004)</w:t>
      </w:r>
      <w:r w:rsidR="0041593D">
        <w:rPr>
          <w:rFonts w:ascii="Times New Roman" w:hAnsi="Times New Roman"/>
          <w:sz w:val="24"/>
          <w:szCs w:val="24"/>
        </w:rPr>
        <w:t>, ou como tecnologias</w:t>
      </w:r>
      <w:r w:rsidR="00811D85">
        <w:rPr>
          <w:rFonts w:ascii="Times New Roman" w:hAnsi="Times New Roman"/>
          <w:sz w:val="24"/>
          <w:szCs w:val="24"/>
        </w:rPr>
        <w:t xml:space="preserve"> sociais, em contraposição à</w:t>
      </w:r>
      <w:r w:rsidR="0041593D">
        <w:rPr>
          <w:rFonts w:ascii="Times New Roman" w:hAnsi="Times New Roman"/>
          <w:sz w:val="24"/>
          <w:szCs w:val="24"/>
        </w:rPr>
        <w:t>s tecnologias físicas (NELSON, 2007)</w:t>
      </w:r>
      <w:r w:rsidR="006C1BF3">
        <w:rPr>
          <w:rFonts w:ascii="Times New Roman" w:hAnsi="Times New Roman"/>
          <w:sz w:val="24"/>
          <w:szCs w:val="24"/>
        </w:rPr>
        <w:t xml:space="preserve">. </w:t>
      </w:r>
      <w:r w:rsidR="00D62C23">
        <w:rPr>
          <w:rFonts w:ascii="Times New Roman" w:hAnsi="Times New Roman"/>
          <w:sz w:val="24"/>
          <w:szCs w:val="24"/>
        </w:rPr>
        <w:t>Esses elementos se situam fora da dimensão de mercado, envolvendo forças políticas e sociais, que determinam normas, padrões, regulamentações, entre outros aspectos, aos quais a indústria deve atender.</w:t>
      </w:r>
      <w:r w:rsidR="00E43DFE">
        <w:rPr>
          <w:rFonts w:ascii="Times New Roman" w:hAnsi="Times New Roman"/>
          <w:sz w:val="24"/>
          <w:szCs w:val="24"/>
        </w:rPr>
        <w:t xml:space="preserve"> </w:t>
      </w:r>
    </w:p>
    <w:p w:rsidR="00031BEC" w:rsidRDefault="00E43DFE" w:rsidP="00CE2567">
      <w:pPr>
        <w:spacing w:line="360" w:lineRule="auto"/>
        <w:ind w:firstLine="708"/>
        <w:rPr>
          <w:rFonts w:ascii="Times New Roman" w:hAnsi="Times New Roman" w:cs="Times New Roman"/>
          <w:sz w:val="24"/>
          <w:szCs w:val="24"/>
        </w:rPr>
      </w:pPr>
      <w:r>
        <w:rPr>
          <w:rFonts w:ascii="Times New Roman" w:hAnsi="Times New Roman" w:cs="Times New Roman"/>
          <w:sz w:val="24"/>
          <w:szCs w:val="24"/>
        </w:rPr>
        <w:t>A regulação e a</w:t>
      </w:r>
      <w:r w:rsidR="00DF7088">
        <w:rPr>
          <w:rFonts w:ascii="Times New Roman" w:hAnsi="Times New Roman" w:cs="Times New Roman"/>
          <w:sz w:val="24"/>
          <w:szCs w:val="24"/>
        </w:rPr>
        <w:t>s políticas públicas</w:t>
      </w:r>
      <w:r w:rsidR="001107D4">
        <w:rPr>
          <w:rFonts w:ascii="Times New Roman" w:hAnsi="Times New Roman" w:cs="Times New Roman"/>
          <w:sz w:val="24"/>
          <w:szCs w:val="24"/>
        </w:rPr>
        <w:t xml:space="preserve"> setoriais</w:t>
      </w:r>
      <w:r>
        <w:rPr>
          <w:rFonts w:ascii="Times New Roman" w:hAnsi="Times New Roman" w:cs="Times New Roman"/>
          <w:sz w:val="24"/>
          <w:szCs w:val="24"/>
        </w:rPr>
        <w:t xml:space="preserve"> são importantes elementos de influência</w:t>
      </w:r>
      <w:r w:rsidR="00BF5414">
        <w:rPr>
          <w:rFonts w:ascii="Times New Roman" w:hAnsi="Times New Roman" w:cs="Times New Roman"/>
          <w:sz w:val="24"/>
          <w:szCs w:val="24"/>
        </w:rPr>
        <w:t xml:space="preserve"> </w:t>
      </w:r>
      <w:r>
        <w:rPr>
          <w:rFonts w:ascii="Times New Roman" w:hAnsi="Times New Roman" w:cs="Times New Roman"/>
          <w:sz w:val="24"/>
          <w:szCs w:val="24"/>
        </w:rPr>
        <w:t xml:space="preserve">na </w:t>
      </w:r>
      <w:r>
        <w:rPr>
          <w:rFonts w:ascii="Times New Roman" w:hAnsi="Times New Roman"/>
          <w:sz w:val="24"/>
          <w:szCs w:val="24"/>
        </w:rPr>
        <w:t>definição de trajetórias tecnológicas e o processo de evolução industrial</w:t>
      </w:r>
      <w:r>
        <w:rPr>
          <w:rFonts w:ascii="Times New Roman" w:hAnsi="Times New Roman" w:cs="Times New Roman"/>
          <w:sz w:val="24"/>
          <w:szCs w:val="24"/>
        </w:rPr>
        <w:t>. Dentre as políticas setoriais, a</w:t>
      </w:r>
      <w:r w:rsidR="001107D4">
        <w:rPr>
          <w:rFonts w:ascii="Times New Roman" w:hAnsi="Times New Roman" w:cs="Times New Roman"/>
          <w:sz w:val="24"/>
          <w:szCs w:val="24"/>
        </w:rPr>
        <w:t xml:space="preserve"> mais relevante para este trabalho</w:t>
      </w:r>
      <w:r w:rsidR="00FC3A28">
        <w:rPr>
          <w:rFonts w:ascii="Times New Roman" w:hAnsi="Times New Roman" w:cs="Times New Roman"/>
          <w:sz w:val="24"/>
          <w:szCs w:val="24"/>
        </w:rPr>
        <w:t xml:space="preserve"> diz respeito à política energética, em que consta o</w:t>
      </w:r>
      <w:r w:rsidR="00FC3A28" w:rsidRPr="00012212">
        <w:rPr>
          <w:rFonts w:ascii="Times New Roman" w:hAnsi="Times New Roman" w:cs="Times New Roman"/>
          <w:sz w:val="24"/>
          <w:szCs w:val="24"/>
        </w:rPr>
        <w:t xml:space="preserve"> </w:t>
      </w:r>
      <w:r w:rsidR="00FC3A28">
        <w:rPr>
          <w:rFonts w:ascii="Times New Roman" w:hAnsi="Times New Roman" w:cs="Times New Roman"/>
          <w:sz w:val="24"/>
          <w:szCs w:val="24"/>
        </w:rPr>
        <w:t>aumento da participação dos biocombustíveis na matriz energética nacional em bases econômicas, sociais e ambientais.</w:t>
      </w:r>
      <w:r w:rsidR="00B818FB">
        <w:rPr>
          <w:rFonts w:ascii="Times New Roman" w:hAnsi="Times New Roman" w:cs="Times New Roman"/>
          <w:color w:val="FF0000"/>
          <w:sz w:val="24"/>
          <w:szCs w:val="24"/>
        </w:rPr>
        <w:t xml:space="preserve"> </w:t>
      </w:r>
      <w:r w:rsidR="006144D6">
        <w:rPr>
          <w:rFonts w:ascii="Times New Roman" w:hAnsi="Times New Roman" w:cs="Times New Roman"/>
          <w:sz w:val="24"/>
          <w:szCs w:val="24"/>
        </w:rPr>
        <w:t>Entretanto,</w:t>
      </w:r>
      <w:r w:rsidR="008B051C">
        <w:rPr>
          <w:rFonts w:ascii="Times New Roman" w:hAnsi="Times New Roman" w:cs="Times New Roman"/>
          <w:sz w:val="24"/>
          <w:szCs w:val="24"/>
        </w:rPr>
        <w:t xml:space="preserve"> ao longo do trabalho, será possível constatar</w:t>
      </w:r>
      <w:r w:rsidR="00B818FB" w:rsidRPr="00B818FB">
        <w:rPr>
          <w:rFonts w:ascii="Times New Roman" w:hAnsi="Times New Roman" w:cs="Times New Roman"/>
          <w:sz w:val="24"/>
          <w:szCs w:val="24"/>
        </w:rPr>
        <w:t xml:space="preserve"> que </w:t>
      </w:r>
      <w:r w:rsidR="00CB0CCE">
        <w:rPr>
          <w:rFonts w:ascii="Times New Roman" w:hAnsi="Times New Roman" w:cs="Times New Roman"/>
          <w:sz w:val="24"/>
          <w:szCs w:val="24"/>
        </w:rPr>
        <w:t xml:space="preserve">a introdução do etanol e biodiesel na matriz energética é </w:t>
      </w:r>
      <w:r w:rsidR="00B818FB">
        <w:rPr>
          <w:rFonts w:ascii="Times New Roman" w:hAnsi="Times New Roman" w:cs="Times New Roman"/>
          <w:sz w:val="24"/>
          <w:szCs w:val="24"/>
        </w:rPr>
        <w:t>objeto de preocupação e/ou interesse</w:t>
      </w:r>
      <w:r w:rsidR="00CB0CCE">
        <w:rPr>
          <w:rFonts w:ascii="Times New Roman" w:hAnsi="Times New Roman" w:cs="Times New Roman"/>
          <w:sz w:val="24"/>
          <w:szCs w:val="24"/>
        </w:rPr>
        <w:t xml:space="preserve"> de</w:t>
      </w:r>
      <w:r w:rsidR="00B818FB">
        <w:rPr>
          <w:rFonts w:ascii="Times New Roman" w:hAnsi="Times New Roman" w:cs="Times New Roman"/>
          <w:sz w:val="24"/>
          <w:szCs w:val="24"/>
        </w:rPr>
        <w:t xml:space="preserve"> outras </w:t>
      </w:r>
      <w:r>
        <w:rPr>
          <w:rFonts w:ascii="Times New Roman" w:hAnsi="Times New Roman" w:cs="Times New Roman"/>
          <w:sz w:val="24"/>
          <w:szCs w:val="24"/>
        </w:rPr>
        <w:t>áreas de atuação governamental</w:t>
      </w:r>
      <w:r w:rsidR="00B818FB">
        <w:rPr>
          <w:rFonts w:ascii="Times New Roman" w:hAnsi="Times New Roman" w:cs="Times New Roman"/>
          <w:sz w:val="24"/>
          <w:szCs w:val="24"/>
        </w:rPr>
        <w:t xml:space="preserve">. </w:t>
      </w:r>
    </w:p>
    <w:p w:rsidR="00B818FB" w:rsidRDefault="00B818FB" w:rsidP="00704659">
      <w:pPr>
        <w:spacing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Em primeiro lugar, existem controvérsias </w:t>
      </w:r>
      <w:r w:rsidR="00CB0CCE">
        <w:rPr>
          <w:rFonts w:ascii="Times New Roman" w:hAnsi="Times New Roman" w:cs="Times New Roman"/>
          <w:sz w:val="24"/>
          <w:szCs w:val="24"/>
        </w:rPr>
        <w:t>acerca da efetiva redução de emissões de GEE</w:t>
      </w:r>
      <w:r>
        <w:rPr>
          <w:rFonts w:ascii="Times New Roman" w:hAnsi="Times New Roman" w:cs="Times New Roman"/>
          <w:sz w:val="24"/>
          <w:szCs w:val="24"/>
        </w:rPr>
        <w:t xml:space="preserve">, quando se consideram os impactos em toda a cadeia produtiva, fazendo com que </w:t>
      </w:r>
      <w:r w:rsidR="00CB0CCE">
        <w:rPr>
          <w:rFonts w:ascii="Times New Roman" w:hAnsi="Times New Roman" w:cs="Times New Roman"/>
          <w:sz w:val="24"/>
          <w:szCs w:val="24"/>
        </w:rPr>
        <w:t xml:space="preserve">os biocombustíveis </w:t>
      </w:r>
      <w:r w:rsidR="007143FC">
        <w:rPr>
          <w:rFonts w:ascii="Times New Roman" w:hAnsi="Times New Roman" w:cs="Times New Roman"/>
          <w:sz w:val="24"/>
          <w:szCs w:val="24"/>
        </w:rPr>
        <w:t>sejam tema de debate n</w:t>
      </w:r>
      <w:r w:rsidR="00CB0CCE">
        <w:rPr>
          <w:rFonts w:ascii="Times New Roman" w:hAnsi="Times New Roman" w:cs="Times New Roman"/>
          <w:sz w:val="24"/>
          <w:szCs w:val="24"/>
        </w:rPr>
        <w:t>a área ambiental.</w:t>
      </w:r>
      <w:r w:rsidR="007434DC">
        <w:rPr>
          <w:rFonts w:ascii="Times New Roman" w:hAnsi="Times New Roman" w:cs="Times New Roman"/>
          <w:sz w:val="24"/>
          <w:szCs w:val="24"/>
        </w:rPr>
        <w:t xml:space="preserve"> Segundo, há uma série de impactos sociais decorrentes principalmente da geração de empregos e renda nas localidades produtoras, o que os torna importante elemento nas estratégias de desenvolvimento agrário. Terceiro, há hoje na indústria aspectos tecnológicos sendo </w:t>
      </w:r>
      <w:r w:rsidR="00031BEC">
        <w:rPr>
          <w:rFonts w:ascii="Times New Roman" w:hAnsi="Times New Roman" w:cs="Times New Roman"/>
          <w:sz w:val="24"/>
          <w:szCs w:val="24"/>
        </w:rPr>
        <w:t xml:space="preserve">explorados no desenvolvimento de combustíveis renováveis avançados, o que abre oportunidade para que o país desenvolva competências </w:t>
      </w:r>
      <w:r w:rsidR="00924FC7">
        <w:rPr>
          <w:rFonts w:ascii="Times New Roman" w:hAnsi="Times New Roman" w:cs="Times New Roman"/>
          <w:sz w:val="24"/>
          <w:szCs w:val="24"/>
        </w:rPr>
        <w:t>nessas novas rotas de produção, com desdobramentos positivos sobre outros setores da economia, inclusive o d</w:t>
      </w:r>
      <w:r w:rsidR="004F080D">
        <w:rPr>
          <w:rFonts w:ascii="Times New Roman" w:hAnsi="Times New Roman" w:cs="Times New Roman"/>
          <w:sz w:val="24"/>
          <w:szCs w:val="24"/>
        </w:rPr>
        <w:t>e ciência e tecnologia. Também</w:t>
      </w:r>
      <w:r w:rsidR="00924FC7">
        <w:rPr>
          <w:rFonts w:ascii="Times New Roman" w:hAnsi="Times New Roman" w:cs="Times New Roman"/>
          <w:sz w:val="24"/>
          <w:szCs w:val="24"/>
        </w:rPr>
        <w:t xml:space="preserve"> não se pode deixar de mencionar a relevância que o setor tem para o comércio exterior: a produção de biodiesel permitiu a redução de</w:t>
      </w:r>
      <w:r w:rsidR="007434DC">
        <w:rPr>
          <w:rFonts w:ascii="Times New Roman" w:hAnsi="Times New Roman" w:cs="Times New Roman"/>
          <w:sz w:val="24"/>
          <w:szCs w:val="24"/>
        </w:rPr>
        <w:t xml:space="preserve"> importação de diesel e</w:t>
      </w:r>
      <w:r w:rsidR="00924FC7">
        <w:rPr>
          <w:rFonts w:ascii="Times New Roman" w:hAnsi="Times New Roman" w:cs="Times New Roman"/>
          <w:sz w:val="24"/>
          <w:szCs w:val="24"/>
        </w:rPr>
        <w:t xml:space="preserve"> o setor de etanol, a despeito das dificuldades recentes de abastecimento do mercado interno, prospecta clientes no exterior</w:t>
      </w:r>
      <w:r w:rsidR="00031BEC">
        <w:rPr>
          <w:rFonts w:ascii="Times New Roman" w:hAnsi="Times New Roman" w:cs="Times New Roman"/>
          <w:sz w:val="24"/>
          <w:szCs w:val="24"/>
        </w:rPr>
        <w:t>.</w:t>
      </w:r>
      <w:r w:rsidR="00924FC7">
        <w:rPr>
          <w:rFonts w:ascii="Times New Roman" w:hAnsi="Times New Roman" w:cs="Times New Roman"/>
          <w:sz w:val="24"/>
          <w:szCs w:val="24"/>
        </w:rPr>
        <w:t xml:space="preserve"> </w:t>
      </w:r>
      <w:r w:rsidR="004F080D">
        <w:rPr>
          <w:rFonts w:ascii="Times New Roman" w:hAnsi="Times New Roman" w:cs="Times New Roman"/>
          <w:sz w:val="24"/>
          <w:szCs w:val="24"/>
        </w:rPr>
        <w:t>E por fim, é preciso lembrar que muitos incentivos à produção de biocombustíveis estão associados a alterações na estrutura tributária, além de adquirirem importância nas políticas de controle inflacionário.</w:t>
      </w:r>
    </w:p>
    <w:p w:rsidR="009403EA" w:rsidRDefault="004F080D" w:rsidP="00704659">
      <w:pPr>
        <w:spacing w:line="360" w:lineRule="auto"/>
        <w:ind w:firstLine="708"/>
        <w:rPr>
          <w:rFonts w:ascii="Times New Roman" w:hAnsi="Times New Roman" w:cs="Times New Roman"/>
          <w:sz w:val="24"/>
          <w:szCs w:val="24"/>
        </w:rPr>
      </w:pPr>
      <w:r>
        <w:rPr>
          <w:rFonts w:ascii="Times New Roman" w:hAnsi="Times New Roman" w:cs="Times New Roman"/>
          <w:sz w:val="24"/>
          <w:szCs w:val="24"/>
        </w:rPr>
        <w:t>Essa</w:t>
      </w:r>
      <w:r w:rsidR="002D46A1">
        <w:rPr>
          <w:rFonts w:ascii="Times New Roman" w:hAnsi="Times New Roman" w:cs="Times New Roman"/>
          <w:sz w:val="24"/>
          <w:szCs w:val="24"/>
        </w:rPr>
        <w:t xml:space="preserve"> variedade de temas com os quais as política</w:t>
      </w:r>
      <w:r w:rsidR="009403EA">
        <w:rPr>
          <w:rFonts w:ascii="Times New Roman" w:hAnsi="Times New Roman" w:cs="Times New Roman"/>
          <w:sz w:val="24"/>
          <w:szCs w:val="24"/>
        </w:rPr>
        <w:t>s de apoio aos biocombustíveis s</w:t>
      </w:r>
      <w:r w:rsidR="002D46A1">
        <w:rPr>
          <w:rFonts w:ascii="Times New Roman" w:hAnsi="Times New Roman" w:cs="Times New Roman"/>
          <w:sz w:val="24"/>
          <w:szCs w:val="24"/>
        </w:rPr>
        <w:t>e relac</w:t>
      </w:r>
      <w:r w:rsidR="009E15DC">
        <w:rPr>
          <w:rFonts w:ascii="Times New Roman" w:hAnsi="Times New Roman" w:cs="Times New Roman"/>
          <w:sz w:val="24"/>
          <w:szCs w:val="24"/>
        </w:rPr>
        <w:t>ionam é enfatizada nas Diretrizes da Política de A</w:t>
      </w:r>
      <w:r w:rsidR="002D46A1">
        <w:rPr>
          <w:rFonts w:ascii="Times New Roman" w:hAnsi="Times New Roman" w:cs="Times New Roman"/>
          <w:sz w:val="24"/>
          <w:szCs w:val="24"/>
        </w:rPr>
        <w:t>groenergia,</w:t>
      </w:r>
      <w:r w:rsidR="002D46A1" w:rsidRPr="009E15DC">
        <w:rPr>
          <w:rFonts w:ascii="Times New Roman" w:hAnsi="Times New Roman" w:cs="Times New Roman"/>
          <w:sz w:val="24"/>
          <w:szCs w:val="24"/>
        </w:rPr>
        <w:t xml:space="preserve"> </w:t>
      </w:r>
      <w:r w:rsidR="009E15DC" w:rsidRPr="009E15DC">
        <w:rPr>
          <w:rFonts w:ascii="Times New Roman" w:hAnsi="Times New Roman" w:cs="Times New Roman"/>
          <w:sz w:val="24"/>
          <w:szCs w:val="24"/>
          <w:lang w:val="pt-PT"/>
        </w:rPr>
        <w:t>conjuntamente</w:t>
      </w:r>
      <w:r w:rsidR="009403EA">
        <w:rPr>
          <w:rFonts w:ascii="Times New Roman" w:hAnsi="Times New Roman" w:cs="Times New Roman"/>
          <w:sz w:val="24"/>
          <w:szCs w:val="24"/>
          <w:lang w:val="pt-PT"/>
        </w:rPr>
        <w:t xml:space="preserve"> elaboradas pelo </w:t>
      </w:r>
      <w:r w:rsidR="002F5DB3">
        <w:rPr>
          <w:rFonts w:ascii="Times New Roman" w:hAnsi="Times New Roman" w:cs="Times New Roman"/>
          <w:sz w:val="24"/>
          <w:szCs w:val="24"/>
          <w:lang w:val="pt-PT"/>
        </w:rPr>
        <w:t>Ministério da Agricultura, Pecuária e Abastecimento (</w:t>
      </w:r>
      <w:r w:rsidR="009403EA">
        <w:rPr>
          <w:rFonts w:ascii="Times New Roman" w:hAnsi="Times New Roman" w:cs="Times New Roman"/>
          <w:sz w:val="24"/>
          <w:szCs w:val="24"/>
          <w:lang w:val="pt-PT"/>
        </w:rPr>
        <w:t>MAPA</w:t>
      </w:r>
      <w:r w:rsidR="002F5DB3">
        <w:rPr>
          <w:rFonts w:ascii="Times New Roman" w:hAnsi="Times New Roman" w:cs="Times New Roman"/>
          <w:sz w:val="24"/>
          <w:szCs w:val="24"/>
          <w:lang w:val="pt-PT"/>
        </w:rPr>
        <w:t>)</w:t>
      </w:r>
      <w:r w:rsidR="009403EA">
        <w:rPr>
          <w:rFonts w:ascii="Times New Roman" w:hAnsi="Times New Roman" w:cs="Times New Roman"/>
          <w:sz w:val="24"/>
          <w:szCs w:val="24"/>
          <w:lang w:val="pt-PT"/>
        </w:rPr>
        <w:t>,</w:t>
      </w:r>
      <w:r w:rsidR="002F5DB3">
        <w:rPr>
          <w:rFonts w:ascii="Times New Roman" w:hAnsi="Times New Roman" w:cs="Times New Roman"/>
          <w:sz w:val="24"/>
          <w:szCs w:val="24"/>
          <w:lang w:val="pt-PT"/>
        </w:rPr>
        <w:t xml:space="preserve"> Ministério de Ciência, Tecnologia e Inovação (</w:t>
      </w:r>
      <w:r w:rsidR="009403EA">
        <w:rPr>
          <w:rFonts w:ascii="Times New Roman" w:hAnsi="Times New Roman" w:cs="Times New Roman"/>
          <w:sz w:val="24"/>
          <w:szCs w:val="24"/>
          <w:lang w:val="pt-PT"/>
        </w:rPr>
        <w:t>MCT</w:t>
      </w:r>
      <w:r w:rsidR="00B946E6">
        <w:rPr>
          <w:rFonts w:ascii="Times New Roman" w:hAnsi="Times New Roman" w:cs="Times New Roman"/>
          <w:sz w:val="24"/>
          <w:szCs w:val="24"/>
          <w:lang w:val="pt-PT"/>
        </w:rPr>
        <w:t>I</w:t>
      </w:r>
      <w:r w:rsidR="002F5DB3">
        <w:rPr>
          <w:rFonts w:ascii="Times New Roman" w:hAnsi="Times New Roman" w:cs="Times New Roman"/>
          <w:sz w:val="24"/>
          <w:szCs w:val="24"/>
          <w:lang w:val="pt-PT"/>
        </w:rPr>
        <w:t>)</w:t>
      </w:r>
      <w:r w:rsidR="009403EA">
        <w:rPr>
          <w:rFonts w:ascii="Times New Roman" w:hAnsi="Times New Roman" w:cs="Times New Roman"/>
          <w:sz w:val="24"/>
          <w:szCs w:val="24"/>
          <w:lang w:val="pt-PT"/>
        </w:rPr>
        <w:t>,</w:t>
      </w:r>
      <w:r w:rsidR="002F5DB3">
        <w:rPr>
          <w:rFonts w:ascii="Times New Roman" w:hAnsi="Times New Roman" w:cs="Times New Roman"/>
          <w:sz w:val="24"/>
          <w:szCs w:val="24"/>
          <w:lang w:val="pt-PT"/>
        </w:rPr>
        <w:t xml:space="preserve"> Ministério de Minas e Energia</w:t>
      </w:r>
      <w:r w:rsidR="009403EA">
        <w:rPr>
          <w:rFonts w:ascii="Times New Roman" w:hAnsi="Times New Roman" w:cs="Times New Roman"/>
          <w:sz w:val="24"/>
          <w:szCs w:val="24"/>
          <w:lang w:val="pt-PT"/>
        </w:rPr>
        <w:t xml:space="preserve"> </w:t>
      </w:r>
      <w:r w:rsidR="002F5DB3">
        <w:rPr>
          <w:rFonts w:ascii="Times New Roman" w:hAnsi="Times New Roman" w:cs="Times New Roman"/>
          <w:sz w:val="24"/>
          <w:szCs w:val="24"/>
          <w:lang w:val="pt-PT"/>
        </w:rPr>
        <w:t>(</w:t>
      </w:r>
      <w:r w:rsidR="009403EA">
        <w:rPr>
          <w:rFonts w:ascii="Times New Roman" w:hAnsi="Times New Roman" w:cs="Times New Roman"/>
          <w:sz w:val="24"/>
          <w:szCs w:val="24"/>
          <w:lang w:val="pt-PT"/>
        </w:rPr>
        <w:t>MME</w:t>
      </w:r>
      <w:r w:rsidR="002F5DB3">
        <w:rPr>
          <w:rFonts w:ascii="Times New Roman" w:hAnsi="Times New Roman" w:cs="Times New Roman"/>
          <w:sz w:val="24"/>
          <w:szCs w:val="24"/>
          <w:lang w:val="pt-PT"/>
        </w:rPr>
        <w:t>)</w:t>
      </w:r>
      <w:r w:rsidR="009403EA">
        <w:rPr>
          <w:rFonts w:ascii="Times New Roman" w:hAnsi="Times New Roman" w:cs="Times New Roman"/>
          <w:sz w:val="24"/>
          <w:szCs w:val="24"/>
          <w:lang w:val="pt-PT"/>
        </w:rPr>
        <w:t xml:space="preserve"> e</w:t>
      </w:r>
      <w:r w:rsidR="002F5DB3">
        <w:rPr>
          <w:rFonts w:ascii="Times New Roman" w:hAnsi="Times New Roman" w:cs="Times New Roman"/>
          <w:sz w:val="24"/>
          <w:szCs w:val="24"/>
          <w:lang w:val="pt-PT"/>
        </w:rPr>
        <w:t xml:space="preserve"> Ministério de Desenvolvimento, Indústria e Comércio</w:t>
      </w:r>
      <w:r w:rsidR="009E15DC" w:rsidRPr="009E15DC">
        <w:rPr>
          <w:rFonts w:ascii="Times New Roman" w:hAnsi="Times New Roman" w:cs="Times New Roman"/>
          <w:sz w:val="24"/>
          <w:szCs w:val="24"/>
          <w:lang w:val="pt-PT"/>
        </w:rPr>
        <w:t xml:space="preserve"> </w:t>
      </w:r>
      <w:r w:rsidR="002F5DB3">
        <w:rPr>
          <w:rFonts w:ascii="Times New Roman" w:hAnsi="Times New Roman" w:cs="Times New Roman"/>
          <w:sz w:val="24"/>
          <w:szCs w:val="24"/>
          <w:lang w:val="pt-PT"/>
        </w:rPr>
        <w:t>(</w:t>
      </w:r>
      <w:r w:rsidR="009E15DC" w:rsidRPr="009E15DC">
        <w:rPr>
          <w:rFonts w:ascii="Times New Roman" w:hAnsi="Times New Roman" w:cs="Times New Roman"/>
          <w:sz w:val="24"/>
          <w:szCs w:val="24"/>
          <w:lang w:val="pt-PT"/>
        </w:rPr>
        <w:t>MDIC</w:t>
      </w:r>
      <w:r w:rsidR="002F5DB3">
        <w:rPr>
          <w:rFonts w:ascii="Times New Roman" w:hAnsi="Times New Roman" w:cs="Times New Roman"/>
          <w:sz w:val="24"/>
          <w:szCs w:val="24"/>
          <w:lang w:val="pt-PT"/>
        </w:rPr>
        <w:t>)</w:t>
      </w:r>
      <w:r w:rsidR="00245F31">
        <w:rPr>
          <w:rFonts w:ascii="Times New Roman" w:hAnsi="Times New Roman" w:cs="Times New Roman"/>
          <w:sz w:val="24"/>
          <w:szCs w:val="24"/>
        </w:rPr>
        <w:t xml:space="preserve">. </w:t>
      </w:r>
      <w:r w:rsidR="009E15DC">
        <w:rPr>
          <w:rFonts w:ascii="Times New Roman" w:hAnsi="Times New Roman" w:cs="Times New Roman"/>
          <w:sz w:val="24"/>
          <w:szCs w:val="24"/>
        </w:rPr>
        <w:t>O documento chama atenção para a necessidade de</w:t>
      </w:r>
      <w:r w:rsidR="009E15DC" w:rsidRPr="009E15DC">
        <w:rPr>
          <w:rFonts w:ascii="Times New Roman" w:hAnsi="Times New Roman" w:cs="Times New Roman"/>
          <w:color w:val="FF0000"/>
          <w:sz w:val="24"/>
          <w:szCs w:val="24"/>
          <w:lang w:val="pt-PT"/>
        </w:rPr>
        <w:t xml:space="preserve"> </w:t>
      </w:r>
      <w:r w:rsidR="009E15DC" w:rsidRPr="009E15DC">
        <w:rPr>
          <w:rFonts w:ascii="Times New Roman" w:hAnsi="Times New Roman" w:cs="Times New Roman"/>
          <w:sz w:val="24"/>
          <w:szCs w:val="24"/>
          <w:lang w:val="pt-PT"/>
        </w:rPr>
        <w:t>alinhamento das diversas políticas governamentais, “como a política tributária, de abastecimento, agrícola, agrária, creditícia, fiscal, energética, de ciência e tecnologia, ambiental, industrial, de comércio internacional e de relações exteriores e, quando for o caso, do seu desdobramento sobre legislação específica” (BRASIL, 200</w:t>
      </w:r>
      <w:r w:rsidR="009E15DC">
        <w:rPr>
          <w:rFonts w:ascii="Times New Roman" w:hAnsi="Times New Roman" w:cs="Times New Roman"/>
          <w:sz w:val="24"/>
          <w:szCs w:val="24"/>
          <w:lang w:val="pt-PT"/>
        </w:rPr>
        <w:t>6</w:t>
      </w:r>
      <w:r w:rsidR="001C380D">
        <w:rPr>
          <w:rFonts w:ascii="Times New Roman" w:hAnsi="Times New Roman" w:cs="Times New Roman"/>
          <w:sz w:val="24"/>
          <w:szCs w:val="24"/>
          <w:lang w:val="pt-PT"/>
        </w:rPr>
        <w:t>, p.</w:t>
      </w:r>
      <w:r w:rsidR="009E15DC" w:rsidRPr="009E15DC">
        <w:rPr>
          <w:rFonts w:ascii="Times New Roman" w:hAnsi="Times New Roman" w:cs="Times New Roman"/>
          <w:sz w:val="24"/>
          <w:szCs w:val="24"/>
          <w:lang w:val="pt-PT"/>
        </w:rPr>
        <w:t xml:space="preserve"> 3).</w:t>
      </w:r>
      <w:r w:rsidR="009E15DC" w:rsidRPr="009E15DC">
        <w:rPr>
          <w:rFonts w:ascii="Times New Roman" w:hAnsi="Times New Roman" w:cs="Times New Roman"/>
          <w:sz w:val="24"/>
          <w:szCs w:val="24"/>
        </w:rPr>
        <w:t xml:space="preserve"> </w:t>
      </w:r>
    </w:p>
    <w:p w:rsidR="00B81B19" w:rsidRDefault="007048F7" w:rsidP="00FC3A28">
      <w:pPr>
        <w:spacing w:line="360" w:lineRule="auto"/>
        <w:ind w:firstLine="708"/>
        <w:rPr>
          <w:rFonts w:ascii="Times New Roman" w:hAnsi="Times New Roman" w:cs="Times New Roman"/>
          <w:sz w:val="24"/>
          <w:szCs w:val="24"/>
        </w:rPr>
      </w:pPr>
      <w:r>
        <w:rPr>
          <w:rFonts w:ascii="Times New Roman" w:hAnsi="Times New Roman" w:cs="Times New Roman"/>
          <w:sz w:val="24"/>
          <w:szCs w:val="24"/>
        </w:rPr>
        <w:t>O setor privado, por sua vez, tem suas ações refletidas</w:t>
      </w:r>
      <w:r w:rsidR="00924FC7">
        <w:rPr>
          <w:rFonts w:ascii="Times New Roman" w:hAnsi="Times New Roman" w:cs="Times New Roman"/>
          <w:sz w:val="24"/>
          <w:szCs w:val="24"/>
        </w:rPr>
        <w:t xml:space="preserve"> </w:t>
      </w:r>
      <w:r>
        <w:rPr>
          <w:rFonts w:ascii="Times New Roman" w:hAnsi="Times New Roman" w:cs="Times New Roman"/>
          <w:sz w:val="24"/>
          <w:szCs w:val="24"/>
        </w:rPr>
        <w:t>n</w:t>
      </w:r>
      <w:r w:rsidR="007716D2">
        <w:rPr>
          <w:rFonts w:ascii="Times New Roman" w:hAnsi="Times New Roman" w:cs="Times New Roman"/>
          <w:sz w:val="24"/>
          <w:szCs w:val="24"/>
        </w:rPr>
        <w:t xml:space="preserve">a estrutura da </w:t>
      </w:r>
      <w:r>
        <w:rPr>
          <w:rFonts w:ascii="Times New Roman" w:hAnsi="Times New Roman" w:cs="Times New Roman"/>
          <w:sz w:val="24"/>
          <w:szCs w:val="24"/>
        </w:rPr>
        <w:t xml:space="preserve">indústria, que </w:t>
      </w:r>
      <w:r w:rsidR="007716D2">
        <w:rPr>
          <w:rFonts w:ascii="Times New Roman" w:hAnsi="Times New Roman" w:cs="Times New Roman"/>
          <w:sz w:val="24"/>
          <w:szCs w:val="24"/>
        </w:rPr>
        <w:t>apresenta uma dinâmica própria</w:t>
      </w:r>
      <w:r>
        <w:rPr>
          <w:rFonts w:ascii="Times New Roman" w:hAnsi="Times New Roman" w:cs="Times New Roman"/>
          <w:sz w:val="24"/>
          <w:szCs w:val="24"/>
        </w:rPr>
        <w:t>.</w:t>
      </w:r>
      <w:r w:rsidR="007716D2">
        <w:rPr>
          <w:rFonts w:ascii="Times New Roman" w:hAnsi="Times New Roman" w:cs="Times New Roman"/>
          <w:sz w:val="24"/>
          <w:szCs w:val="24"/>
        </w:rPr>
        <w:t xml:space="preserve"> </w:t>
      </w:r>
      <w:r>
        <w:rPr>
          <w:rFonts w:ascii="Times New Roman" w:hAnsi="Times New Roman" w:cs="Times New Roman"/>
          <w:sz w:val="24"/>
          <w:szCs w:val="24"/>
        </w:rPr>
        <w:t xml:space="preserve">Além de responderem a incentivos providos pelo ambiente em que atuam, as firmas podem agir de forma espontânea, investindo, inovando, terceirizando ou </w:t>
      </w:r>
      <w:r w:rsidR="004F080D">
        <w:rPr>
          <w:rFonts w:ascii="Times New Roman" w:hAnsi="Times New Roman" w:cs="Times New Roman"/>
          <w:sz w:val="24"/>
          <w:szCs w:val="24"/>
        </w:rPr>
        <w:t>se integrando, diversificando e</w:t>
      </w:r>
      <w:r>
        <w:rPr>
          <w:rFonts w:ascii="Times New Roman" w:hAnsi="Times New Roman" w:cs="Times New Roman"/>
          <w:sz w:val="24"/>
          <w:szCs w:val="24"/>
        </w:rPr>
        <w:t xml:space="preserve"> expandindo mercados consumidores. </w:t>
      </w:r>
    </w:p>
    <w:p w:rsidR="005352E4" w:rsidRPr="00E11BA9" w:rsidRDefault="00453937" w:rsidP="005352E4">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Portanto, </w:t>
      </w:r>
      <w:r w:rsidR="004514E1">
        <w:rPr>
          <w:rFonts w:ascii="Times New Roman" w:hAnsi="Times New Roman" w:cs="Times New Roman"/>
          <w:sz w:val="24"/>
          <w:szCs w:val="24"/>
        </w:rPr>
        <w:t>quando</w:t>
      </w:r>
      <w:r w:rsidR="00CA6A7E">
        <w:rPr>
          <w:rFonts w:ascii="Times New Roman" w:hAnsi="Times New Roman" w:cs="Times New Roman"/>
          <w:sz w:val="24"/>
          <w:szCs w:val="24"/>
        </w:rPr>
        <w:t xml:space="preserve"> se considera</w:t>
      </w:r>
      <w:r w:rsidR="004514E1">
        <w:rPr>
          <w:rFonts w:ascii="Times New Roman" w:hAnsi="Times New Roman" w:cs="Times New Roman"/>
          <w:sz w:val="24"/>
          <w:szCs w:val="24"/>
        </w:rPr>
        <w:t xml:space="preserve"> o papel de cada um desses elementos na conformação da estrutura indus</w:t>
      </w:r>
      <w:r w:rsidR="00CA6A7E">
        <w:rPr>
          <w:rFonts w:ascii="Times New Roman" w:hAnsi="Times New Roman" w:cs="Times New Roman"/>
          <w:sz w:val="24"/>
          <w:szCs w:val="24"/>
        </w:rPr>
        <w:t>trial de um setor, identifica-se</w:t>
      </w:r>
      <w:r w:rsidR="004514E1">
        <w:rPr>
          <w:rFonts w:ascii="Times New Roman" w:hAnsi="Times New Roman" w:cs="Times New Roman"/>
          <w:sz w:val="24"/>
          <w:szCs w:val="24"/>
        </w:rPr>
        <w:t xml:space="preserve"> também um idêntico número de </w:t>
      </w:r>
      <w:r>
        <w:rPr>
          <w:rFonts w:ascii="Times New Roman" w:hAnsi="Times New Roman" w:cs="Times New Roman"/>
          <w:sz w:val="24"/>
          <w:szCs w:val="24"/>
        </w:rPr>
        <w:t>fontes de mudança</w:t>
      </w:r>
      <w:r w:rsidR="004514E1">
        <w:rPr>
          <w:rFonts w:ascii="Times New Roman" w:hAnsi="Times New Roman" w:cs="Times New Roman"/>
          <w:sz w:val="24"/>
          <w:szCs w:val="24"/>
        </w:rPr>
        <w:t>, que podem ser de grande r</w:t>
      </w:r>
      <w:r w:rsidR="00A1159E">
        <w:rPr>
          <w:rFonts w:ascii="Times New Roman" w:hAnsi="Times New Roman" w:cs="Times New Roman"/>
          <w:sz w:val="24"/>
          <w:szCs w:val="24"/>
        </w:rPr>
        <w:t>elevância para o órgão regulado</w:t>
      </w:r>
      <w:r w:rsidR="00BF5414">
        <w:rPr>
          <w:rFonts w:ascii="Times New Roman" w:hAnsi="Times New Roman" w:cs="Times New Roman"/>
          <w:sz w:val="24"/>
          <w:szCs w:val="24"/>
        </w:rPr>
        <w:t>r</w:t>
      </w:r>
      <w:r w:rsidR="0042775C">
        <w:rPr>
          <w:rFonts w:ascii="Times New Roman" w:hAnsi="Times New Roman" w:cs="Times New Roman"/>
          <w:sz w:val="24"/>
          <w:szCs w:val="24"/>
        </w:rPr>
        <w:t>. Como será observado</w:t>
      </w:r>
      <w:r w:rsidR="004F080D">
        <w:rPr>
          <w:rFonts w:ascii="Times New Roman" w:hAnsi="Times New Roman" w:cs="Times New Roman"/>
          <w:sz w:val="24"/>
          <w:szCs w:val="24"/>
        </w:rPr>
        <w:t xml:space="preserve"> com </w:t>
      </w:r>
      <w:r w:rsidR="004514E1">
        <w:rPr>
          <w:rFonts w:ascii="Times New Roman" w:hAnsi="Times New Roman" w:cs="Times New Roman"/>
          <w:sz w:val="24"/>
          <w:szCs w:val="24"/>
        </w:rPr>
        <w:t>cuidado</w:t>
      </w:r>
      <w:r w:rsidR="004F080D">
        <w:rPr>
          <w:rFonts w:ascii="Times New Roman" w:hAnsi="Times New Roman" w:cs="Times New Roman"/>
          <w:sz w:val="24"/>
          <w:szCs w:val="24"/>
        </w:rPr>
        <w:t xml:space="preserve"> mais</w:t>
      </w:r>
      <w:r w:rsidR="004514E1">
        <w:rPr>
          <w:rFonts w:ascii="Times New Roman" w:hAnsi="Times New Roman" w:cs="Times New Roman"/>
          <w:sz w:val="24"/>
          <w:szCs w:val="24"/>
        </w:rPr>
        <w:t xml:space="preserve"> à frente, a regulação evolui de forma</w:t>
      </w:r>
      <w:r w:rsidR="008A7456">
        <w:rPr>
          <w:rFonts w:ascii="Times New Roman" w:hAnsi="Times New Roman" w:cs="Times New Roman"/>
          <w:sz w:val="24"/>
          <w:szCs w:val="24"/>
        </w:rPr>
        <w:t xml:space="preserve"> mais ou menos</w:t>
      </w:r>
      <w:r w:rsidR="004514E1">
        <w:rPr>
          <w:rFonts w:ascii="Times New Roman" w:hAnsi="Times New Roman" w:cs="Times New Roman"/>
          <w:sz w:val="24"/>
          <w:szCs w:val="24"/>
        </w:rPr>
        <w:t xml:space="preserve"> coordenada com outras políticas setoriais e com a</w:t>
      </w:r>
      <w:r w:rsidR="00756097">
        <w:rPr>
          <w:rFonts w:ascii="Times New Roman" w:hAnsi="Times New Roman" w:cs="Times New Roman"/>
          <w:sz w:val="24"/>
          <w:szCs w:val="24"/>
        </w:rPr>
        <w:t>s</w:t>
      </w:r>
      <w:r w:rsidR="004514E1">
        <w:rPr>
          <w:rFonts w:ascii="Times New Roman" w:hAnsi="Times New Roman" w:cs="Times New Roman"/>
          <w:sz w:val="24"/>
          <w:szCs w:val="24"/>
        </w:rPr>
        <w:t xml:space="preserve"> própria</w:t>
      </w:r>
      <w:r w:rsidR="00756097">
        <w:rPr>
          <w:rFonts w:ascii="Times New Roman" w:hAnsi="Times New Roman" w:cs="Times New Roman"/>
          <w:sz w:val="24"/>
          <w:szCs w:val="24"/>
        </w:rPr>
        <w:t>s</w:t>
      </w:r>
      <w:r w:rsidR="004514E1">
        <w:rPr>
          <w:rFonts w:ascii="Times New Roman" w:hAnsi="Times New Roman" w:cs="Times New Roman"/>
          <w:sz w:val="24"/>
          <w:szCs w:val="24"/>
        </w:rPr>
        <w:t xml:space="preserve"> tecnologia</w:t>
      </w:r>
      <w:r w:rsidR="00756097">
        <w:rPr>
          <w:rFonts w:ascii="Times New Roman" w:hAnsi="Times New Roman" w:cs="Times New Roman"/>
          <w:sz w:val="24"/>
          <w:szCs w:val="24"/>
        </w:rPr>
        <w:t>s</w:t>
      </w:r>
      <w:r w:rsidR="004514E1">
        <w:rPr>
          <w:rFonts w:ascii="Times New Roman" w:hAnsi="Times New Roman" w:cs="Times New Roman"/>
          <w:sz w:val="24"/>
          <w:szCs w:val="24"/>
        </w:rPr>
        <w:t>.</w:t>
      </w:r>
      <w:r w:rsidR="005352E4">
        <w:rPr>
          <w:rFonts w:ascii="Times New Roman" w:hAnsi="Times New Roman" w:cs="Times New Roman"/>
          <w:sz w:val="24"/>
          <w:szCs w:val="24"/>
        </w:rPr>
        <w:t xml:space="preserve"> </w:t>
      </w:r>
      <w:r w:rsidR="00E11BA9" w:rsidRPr="00E11BA9">
        <w:rPr>
          <w:rFonts w:ascii="Times New Roman" w:hAnsi="Times New Roman" w:cs="Times New Roman"/>
          <w:sz w:val="24"/>
          <w:szCs w:val="24"/>
        </w:rPr>
        <w:t>A</w:t>
      </w:r>
      <w:r w:rsidR="00832F46" w:rsidRPr="00E11BA9">
        <w:rPr>
          <w:rFonts w:ascii="Times New Roman" w:hAnsi="Times New Roman" w:cs="Times New Roman"/>
          <w:sz w:val="24"/>
          <w:szCs w:val="24"/>
        </w:rPr>
        <w:t xml:space="preserve"> </w:t>
      </w:r>
      <w:r w:rsidR="00832F46" w:rsidRPr="00704BD1">
        <w:rPr>
          <w:rFonts w:ascii="Times New Roman" w:hAnsi="Times New Roman" w:cs="Times New Roman"/>
          <w:sz w:val="24"/>
          <w:szCs w:val="24"/>
        </w:rPr>
        <w:t>adaptação regulatória</w:t>
      </w:r>
      <w:r w:rsidR="00E11BA9" w:rsidRPr="00E11BA9">
        <w:rPr>
          <w:rFonts w:ascii="Times New Roman" w:hAnsi="Times New Roman" w:cs="Times New Roman"/>
          <w:sz w:val="24"/>
          <w:szCs w:val="24"/>
        </w:rPr>
        <w:t xml:space="preserve"> surge nesse </w:t>
      </w:r>
      <w:r w:rsidR="00E11BA9" w:rsidRPr="00E11BA9">
        <w:rPr>
          <w:rFonts w:ascii="Times New Roman" w:hAnsi="Times New Roman" w:cs="Times New Roman"/>
          <w:sz w:val="24"/>
          <w:szCs w:val="24"/>
        </w:rPr>
        <w:lastRenderedPageBreak/>
        <w:t>contexto como uma importante capacitação do órgão regulador, a fim de manter a coesão da intervenção governamental no setor produtivo e promover o desenvolvimento tecnológico.</w:t>
      </w:r>
    </w:p>
    <w:p w:rsidR="009037E0" w:rsidRDefault="009037E0" w:rsidP="009037E0">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A </w:t>
      </w:r>
      <w:r w:rsidR="00835126">
        <w:rPr>
          <w:rFonts w:ascii="Times New Roman" w:hAnsi="Times New Roman" w:cs="Times New Roman"/>
          <w:sz w:val="24"/>
          <w:szCs w:val="24"/>
        </w:rPr>
        <w:t>introdução de novos combustíveis renováveis na matriz energética requer capacitação para u</w:t>
      </w:r>
      <w:r w:rsidR="00461228">
        <w:rPr>
          <w:rFonts w:ascii="Times New Roman" w:hAnsi="Times New Roman" w:cs="Times New Roman"/>
          <w:sz w:val="24"/>
          <w:szCs w:val="24"/>
        </w:rPr>
        <w:t>ma pronta análise e avaliação, em termos de padrões técnicos e comerciais adotados,</w:t>
      </w:r>
      <w:r w:rsidR="00AC42D7">
        <w:rPr>
          <w:rFonts w:ascii="Times New Roman" w:hAnsi="Times New Roman" w:cs="Times New Roman"/>
          <w:sz w:val="24"/>
          <w:szCs w:val="24"/>
        </w:rPr>
        <w:t xml:space="preserve"> sob o risco de desestimular</w:t>
      </w:r>
      <w:r w:rsidR="00835126">
        <w:rPr>
          <w:rFonts w:ascii="Times New Roman" w:hAnsi="Times New Roman" w:cs="Times New Roman"/>
          <w:sz w:val="24"/>
          <w:szCs w:val="24"/>
        </w:rPr>
        <w:t xml:space="preserve"> outras empresas a se engajarem em atividades de inovação.</w:t>
      </w:r>
      <w:r w:rsidR="00461228">
        <w:rPr>
          <w:rFonts w:ascii="Times New Roman" w:hAnsi="Times New Roman" w:cs="Times New Roman"/>
          <w:sz w:val="24"/>
          <w:szCs w:val="24"/>
        </w:rPr>
        <w:t xml:space="preserve"> Nesse sentido, a padronização técnica</w:t>
      </w:r>
      <w:r w:rsidR="008A7456">
        <w:rPr>
          <w:rFonts w:ascii="Times New Roman" w:hAnsi="Times New Roman" w:cs="Times New Roman"/>
          <w:sz w:val="24"/>
          <w:szCs w:val="24"/>
        </w:rPr>
        <w:t>, assim como as políticas de incentivos,</w:t>
      </w:r>
      <w:r w:rsidR="00461228">
        <w:rPr>
          <w:rFonts w:ascii="Times New Roman" w:hAnsi="Times New Roman" w:cs="Times New Roman"/>
          <w:sz w:val="24"/>
          <w:szCs w:val="24"/>
        </w:rPr>
        <w:t xml:space="preserve"> tem um importante papel na </w:t>
      </w:r>
      <w:r w:rsidR="00AC42D7">
        <w:rPr>
          <w:rFonts w:ascii="Times New Roman" w:hAnsi="Times New Roman" w:cs="Times New Roman"/>
          <w:sz w:val="24"/>
          <w:szCs w:val="24"/>
        </w:rPr>
        <w:t>seleção e difusão das novas rotas tecnológicas em desenvolvimento.</w:t>
      </w:r>
      <w:r w:rsidR="00F44BFA">
        <w:rPr>
          <w:rFonts w:ascii="Times New Roman" w:hAnsi="Times New Roman" w:cs="Times New Roman"/>
          <w:sz w:val="24"/>
          <w:szCs w:val="24"/>
        </w:rPr>
        <w:t xml:space="preserve"> </w:t>
      </w:r>
    </w:p>
    <w:p w:rsidR="001E1079" w:rsidRDefault="00F44BFA" w:rsidP="001E1079">
      <w:pPr>
        <w:spacing w:line="360" w:lineRule="auto"/>
        <w:ind w:firstLine="708"/>
        <w:rPr>
          <w:rFonts w:ascii="Times New Roman" w:hAnsi="Times New Roman" w:cs="Times New Roman"/>
          <w:sz w:val="24"/>
          <w:szCs w:val="24"/>
        </w:rPr>
      </w:pPr>
      <w:r>
        <w:rPr>
          <w:rFonts w:ascii="Times New Roman" w:hAnsi="Times New Roman" w:cs="Times New Roman"/>
          <w:sz w:val="24"/>
          <w:szCs w:val="24"/>
        </w:rPr>
        <w:t>Objetivamen</w:t>
      </w:r>
      <w:r w:rsidR="001E1079">
        <w:rPr>
          <w:rFonts w:ascii="Times New Roman" w:hAnsi="Times New Roman" w:cs="Times New Roman"/>
          <w:sz w:val="24"/>
          <w:szCs w:val="24"/>
        </w:rPr>
        <w:t>te, as</w:t>
      </w:r>
      <w:r>
        <w:rPr>
          <w:rFonts w:ascii="Times New Roman" w:hAnsi="Times New Roman" w:cs="Times New Roman"/>
          <w:sz w:val="24"/>
          <w:szCs w:val="24"/>
        </w:rPr>
        <w:t xml:space="preserve"> </w:t>
      </w:r>
      <w:r w:rsidR="001E1079" w:rsidRPr="001E1079">
        <w:rPr>
          <w:rFonts w:ascii="Times New Roman" w:hAnsi="Times New Roman" w:cs="Times New Roman"/>
          <w:sz w:val="24"/>
          <w:szCs w:val="24"/>
        </w:rPr>
        <w:t>perguntas</w:t>
      </w:r>
      <w:r w:rsidR="000A591C" w:rsidRPr="001E1079">
        <w:rPr>
          <w:rFonts w:ascii="Times New Roman" w:hAnsi="Times New Roman" w:cs="Times New Roman"/>
          <w:sz w:val="24"/>
          <w:szCs w:val="24"/>
        </w:rPr>
        <w:t xml:space="preserve"> que governa</w:t>
      </w:r>
      <w:r w:rsidR="001E1079" w:rsidRPr="001E1079">
        <w:rPr>
          <w:rFonts w:ascii="Times New Roman" w:hAnsi="Times New Roman" w:cs="Times New Roman"/>
          <w:sz w:val="24"/>
          <w:szCs w:val="24"/>
        </w:rPr>
        <w:t>m</w:t>
      </w:r>
      <w:r w:rsidRPr="001E1079">
        <w:rPr>
          <w:rFonts w:ascii="Times New Roman" w:hAnsi="Times New Roman" w:cs="Times New Roman"/>
          <w:sz w:val="24"/>
          <w:szCs w:val="24"/>
        </w:rPr>
        <w:t xml:space="preserve"> essa pesquisa</w:t>
      </w:r>
      <w:r w:rsidR="000A591C">
        <w:rPr>
          <w:rFonts w:ascii="Times New Roman" w:hAnsi="Times New Roman" w:cs="Times New Roman"/>
          <w:sz w:val="24"/>
          <w:szCs w:val="24"/>
        </w:rPr>
        <w:t xml:space="preserve"> </w:t>
      </w:r>
      <w:r w:rsidR="001E1079">
        <w:rPr>
          <w:rFonts w:ascii="Times New Roman" w:hAnsi="Times New Roman" w:cs="Times New Roman"/>
          <w:sz w:val="24"/>
          <w:szCs w:val="24"/>
        </w:rPr>
        <w:t>são c</w:t>
      </w:r>
      <w:r w:rsidR="000A591C">
        <w:rPr>
          <w:rFonts w:ascii="Times New Roman" w:hAnsi="Times New Roman" w:cs="Times New Roman"/>
          <w:sz w:val="24"/>
          <w:szCs w:val="24"/>
        </w:rPr>
        <w:t>omo e com que velocidade a regulação setorial responde a</w:t>
      </w:r>
      <w:r w:rsidR="001E1079">
        <w:rPr>
          <w:rFonts w:ascii="Times New Roman" w:hAnsi="Times New Roman" w:cs="Times New Roman"/>
          <w:sz w:val="24"/>
          <w:szCs w:val="24"/>
        </w:rPr>
        <w:t>:</w:t>
      </w:r>
      <w:r w:rsidR="000A591C">
        <w:rPr>
          <w:rFonts w:ascii="Times New Roman" w:hAnsi="Times New Roman" w:cs="Times New Roman"/>
          <w:sz w:val="24"/>
          <w:szCs w:val="24"/>
        </w:rPr>
        <w:t xml:space="preserve"> </w:t>
      </w:r>
    </w:p>
    <w:p w:rsidR="001E1079" w:rsidRDefault="001E1079" w:rsidP="001E1079">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i) </w:t>
      </w:r>
      <w:r w:rsidR="000A591C">
        <w:rPr>
          <w:rFonts w:ascii="Times New Roman" w:hAnsi="Times New Roman" w:cs="Times New Roman"/>
          <w:sz w:val="24"/>
          <w:szCs w:val="24"/>
        </w:rPr>
        <w:t>mudanças nas políticas públicas que interferem no mercado regulado</w:t>
      </w:r>
      <w:r>
        <w:rPr>
          <w:rFonts w:ascii="Times New Roman" w:hAnsi="Times New Roman" w:cs="Times New Roman"/>
          <w:sz w:val="24"/>
          <w:szCs w:val="24"/>
        </w:rPr>
        <w:t xml:space="preserve">, e </w:t>
      </w:r>
    </w:p>
    <w:p w:rsidR="00F44BFA" w:rsidRDefault="001E1079" w:rsidP="001E1079">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ii) mudanças na estrutura </w:t>
      </w:r>
      <w:r w:rsidR="00505D60">
        <w:rPr>
          <w:rFonts w:ascii="Times New Roman" w:hAnsi="Times New Roman" w:cs="Times New Roman"/>
          <w:sz w:val="24"/>
          <w:szCs w:val="24"/>
        </w:rPr>
        <w:t>industrial e de mercado</w:t>
      </w:r>
      <w:r>
        <w:rPr>
          <w:rFonts w:ascii="Times New Roman" w:hAnsi="Times New Roman" w:cs="Times New Roman"/>
          <w:sz w:val="24"/>
          <w:szCs w:val="24"/>
        </w:rPr>
        <w:t xml:space="preserve"> no setor regulado</w:t>
      </w:r>
      <w:r w:rsidR="00704659">
        <w:rPr>
          <w:rFonts w:ascii="Times New Roman" w:hAnsi="Times New Roman" w:cs="Times New Roman"/>
          <w:sz w:val="24"/>
          <w:szCs w:val="24"/>
        </w:rPr>
        <w:t>, sobretudo</w:t>
      </w:r>
      <w:r w:rsidR="00910FF6">
        <w:rPr>
          <w:rFonts w:ascii="Times New Roman" w:hAnsi="Times New Roman" w:cs="Times New Roman"/>
          <w:sz w:val="24"/>
          <w:szCs w:val="24"/>
        </w:rPr>
        <w:t xml:space="preserve"> aquelas decorrentes da introdução de inovações tecnológicas</w:t>
      </w:r>
      <w:r>
        <w:rPr>
          <w:rFonts w:ascii="Times New Roman" w:hAnsi="Times New Roman" w:cs="Times New Roman"/>
          <w:sz w:val="24"/>
          <w:szCs w:val="24"/>
        </w:rPr>
        <w:t>?</w:t>
      </w:r>
    </w:p>
    <w:p w:rsidR="00086061" w:rsidRDefault="00086061" w:rsidP="00BD587E">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rPr>
        <w:t>A metodologia deste trabalho está centrada na construção de uma ligação entre a teoria da dinâmica industrial e das instituições e os fatos observados na indústria de biocombustíveis. O referencial teórico</w:t>
      </w:r>
      <w:r w:rsidR="009037E0">
        <w:rPr>
          <w:rFonts w:ascii="Times New Roman" w:hAnsi="Times New Roman" w:cs="Times New Roman"/>
          <w:sz w:val="24"/>
          <w:szCs w:val="24"/>
          <w:lang w:val="pt-PT"/>
        </w:rPr>
        <w:t xml:space="preserve"> adot</w:t>
      </w:r>
      <w:r>
        <w:rPr>
          <w:rFonts w:ascii="Times New Roman" w:hAnsi="Times New Roman" w:cs="Times New Roman"/>
          <w:sz w:val="24"/>
          <w:szCs w:val="24"/>
          <w:lang w:val="pt-PT"/>
        </w:rPr>
        <w:t>ado envolve tanto</w:t>
      </w:r>
      <w:r w:rsidR="00BD587E">
        <w:rPr>
          <w:rFonts w:ascii="Times New Roman" w:hAnsi="Times New Roman" w:cs="Times New Roman"/>
          <w:sz w:val="24"/>
          <w:szCs w:val="24"/>
          <w:lang w:val="pt-PT"/>
        </w:rPr>
        <w:t xml:space="preserve"> conceitos introduzidos</w:t>
      </w:r>
      <w:r w:rsidR="003B1905">
        <w:rPr>
          <w:rFonts w:ascii="Times New Roman" w:hAnsi="Times New Roman" w:cs="Times New Roman"/>
          <w:sz w:val="24"/>
          <w:szCs w:val="24"/>
          <w:lang w:val="pt-PT"/>
        </w:rPr>
        <w:t xml:space="preserve"> pela </w:t>
      </w:r>
      <w:r w:rsidR="007C134D">
        <w:rPr>
          <w:rFonts w:ascii="Times New Roman" w:hAnsi="Times New Roman" w:cs="Times New Roman"/>
          <w:sz w:val="24"/>
          <w:szCs w:val="24"/>
          <w:lang w:val="pt-PT"/>
        </w:rPr>
        <w:t>Teoria Evolucionária</w:t>
      </w:r>
      <w:r w:rsidR="003B1905">
        <w:rPr>
          <w:rFonts w:ascii="Times New Roman" w:hAnsi="Times New Roman" w:cs="Times New Roman"/>
          <w:sz w:val="24"/>
          <w:szCs w:val="24"/>
          <w:lang w:val="pt-PT"/>
        </w:rPr>
        <w:t>, Economia da Inovação e Economia</w:t>
      </w:r>
      <w:r w:rsidR="007C134D">
        <w:rPr>
          <w:rFonts w:ascii="Times New Roman" w:hAnsi="Times New Roman" w:cs="Times New Roman"/>
          <w:sz w:val="24"/>
          <w:szCs w:val="24"/>
          <w:lang w:val="pt-PT"/>
        </w:rPr>
        <w:t xml:space="preserve"> Institucional, como </w:t>
      </w:r>
      <w:r>
        <w:rPr>
          <w:rFonts w:ascii="Times New Roman" w:hAnsi="Times New Roman" w:cs="Times New Roman"/>
          <w:sz w:val="24"/>
          <w:szCs w:val="24"/>
          <w:lang w:val="pt-PT"/>
        </w:rPr>
        <w:t xml:space="preserve">análises </w:t>
      </w:r>
      <w:r w:rsidR="00D553EC">
        <w:rPr>
          <w:rFonts w:ascii="Times New Roman" w:hAnsi="Times New Roman" w:cs="Times New Roman"/>
          <w:sz w:val="24"/>
          <w:szCs w:val="24"/>
          <w:lang w:val="pt-PT"/>
        </w:rPr>
        <w:t>sobre</w:t>
      </w:r>
      <w:r w:rsidR="007C134D">
        <w:rPr>
          <w:rFonts w:ascii="Times New Roman" w:hAnsi="Times New Roman" w:cs="Times New Roman"/>
          <w:sz w:val="24"/>
          <w:szCs w:val="24"/>
          <w:lang w:val="pt-PT"/>
        </w:rPr>
        <w:t xml:space="preserve"> inovação e regulação</w:t>
      </w:r>
      <w:r w:rsidR="00D553EC">
        <w:rPr>
          <w:rFonts w:ascii="Times New Roman" w:hAnsi="Times New Roman" w:cs="Times New Roman"/>
          <w:sz w:val="24"/>
          <w:szCs w:val="24"/>
          <w:lang w:val="pt-PT"/>
        </w:rPr>
        <w:t xml:space="preserve"> neste setor específico</w:t>
      </w:r>
      <w:r w:rsidR="007C134D">
        <w:rPr>
          <w:rFonts w:ascii="Times New Roman" w:hAnsi="Times New Roman" w:cs="Times New Roman"/>
          <w:sz w:val="24"/>
          <w:szCs w:val="24"/>
          <w:lang w:val="pt-PT"/>
        </w:rPr>
        <w:t xml:space="preserve">. </w:t>
      </w:r>
      <w:r w:rsidR="00D553EC">
        <w:rPr>
          <w:rFonts w:ascii="Times New Roman" w:hAnsi="Times New Roman" w:cs="Times New Roman"/>
          <w:sz w:val="24"/>
          <w:szCs w:val="24"/>
          <w:lang w:val="pt-PT"/>
        </w:rPr>
        <w:t xml:space="preserve">O trabalho se sustenta nas contribuições de </w:t>
      </w:r>
      <w:r w:rsidR="0092276D">
        <w:rPr>
          <w:rFonts w:ascii="Times New Roman" w:hAnsi="Times New Roman" w:cs="Times New Roman"/>
          <w:sz w:val="24"/>
          <w:szCs w:val="24"/>
          <w:lang w:val="pt-PT"/>
        </w:rPr>
        <w:t xml:space="preserve">autores importantes como Douglass North, </w:t>
      </w:r>
      <w:r w:rsidR="00BD587E">
        <w:rPr>
          <w:rFonts w:ascii="Times New Roman" w:hAnsi="Times New Roman" w:cs="Times New Roman"/>
          <w:sz w:val="24"/>
          <w:szCs w:val="24"/>
          <w:lang w:val="pt-PT"/>
        </w:rPr>
        <w:t xml:space="preserve">Richard </w:t>
      </w:r>
      <w:r w:rsidR="0092276D">
        <w:rPr>
          <w:rFonts w:ascii="Times New Roman" w:hAnsi="Times New Roman" w:cs="Times New Roman"/>
          <w:sz w:val="24"/>
          <w:szCs w:val="24"/>
          <w:lang w:val="pt-PT"/>
        </w:rPr>
        <w:t xml:space="preserve">Nelson, </w:t>
      </w:r>
      <w:r w:rsidR="00BD587E">
        <w:rPr>
          <w:rFonts w:ascii="Times New Roman" w:hAnsi="Times New Roman" w:cs="Times New Roman"/>
          <w:sz w:val="24"/>
          <w:szCs w:val="24"/>
          <w:lang w:val="pt-PT"/>
        </w:rPr>
        <w:t xml:space="preserve">Sidney </w:t>
      </w:r>
      <w:r w:rsidR="009037E0">
        <w:rPr>
          <w:rFonts w:ascii="Times New Roman" w:hAnsi="Times New Roman" w:cs="Times New Roman"/>
          <w:sz w:val="24"/>
          <w:szCs w:val="24"/>
          <w:lang w:val="pt-PT"/>
        </w:rPr>
        <w:t>Winter,</w:t>
      </w:r>
      <w:r w:rsidR="0092276D">
        <w:rPr>
          <w:rFonts w:ascii="Times New Roman" w:hAnsi="Times New Roman" w:cs="Times New Roman"/>
          <w:sz w:val="24"/>
          <w:szCs w:val="24"/>
          <w:lang w:val="pt-PT"/>
        </w:rPr>
        <w:t xml:space="preserve"> </w:t>
      </w:r>
      <w:r w:rsidR="00BD587E">
        <w:rPr>
          <w:rFonts w:ascii="Times New Roman" w:hAnsi="Times New Roman" w:cs="Times New Roman"/>
          <w:sz w:val="24"/>
          <w:szCs w:val="24"/>
          <w:lang w:val="pt-PT"/>
        </w:rPr>
        <w:t xml:space="preserve">Franco </w:t>
      </w:r>
      <w:r w:rsidR="0092276D">
        <w:rPr>
          <w:rFonts w:ascii="Times New Roman" w:hAnsi="Times New Roman" w:cs="Times New Roman"/>
          <w:sz w:val="24"/>
          <w:szCs w:val="24"/>
          <w:lang w:val="pt-PT"/>
        </w:rPr>
        <w:t xml:space="preserve">Malerba, </w:t>
      </w:r>
      <w:r w:rsidR="00BD587E">
        <w:rPr>
          <w:rFonts w:ascii="Times New Roman" w:hAnsi="Times New Roman" w:cs="Times New Roman"/>
          <w:sz w:val="24"/>
          <w:szCs w:val="24"/>
          <w:lang w:val="pt-PT"/>
        </w:rPr>
        <w:t xml:space="preserve">Giovanni </w:t>
      </w:r>
      <w:r w:rsidR="0092276D">
        <w:rPr>
          <w:rFonts w:ascii="Times New Roman" w:hAnsi="Times New Roman" w:cs="Times New Roman"/>
          <w:sz w:val="24"/>
          <w:szCs w:val="24"/>
          <w:lang w:val="pt-PT"/>
        </w:rPr>
        <w:t xml:space="preserve">Dosi, </w:t>
      </w:r>
      <w:r w:rsidR="00BD587E">
        <w:rPr>
          <w:rFonts w:ascii="Times New Roman" w:hAnsi="Times New Roman" w:cs="Times New Roman"/>
          <w:sz w:val="24"/>
          <w:szCs w:val="24"/>
          <w:lang w:val="pt-PT"/>
        </w:rPr>
        <w:t xml:space="preserve">Frank </w:t>
      </w:r>
      <w:r w:rsidR="0092276D">
        <w:rPr>
          <w:rFonts w:ascii="Times New Roman" w:hAnsi="Times New Roman" w:cs="Times New Roman"/>
          <w:sz w:val="24"/>
          <w:szCs w:val="24"/>
          <w:lang w:val="pt-PT"/>
        </w:rPr>
        <w:t xml:space="preserve">Geels, entre outros. </w:t>
      </w:r>
      <w:r w:rsidR="007C134D">
        <w:rPr>
          <w:rFonts w:ascii="Times New Roman" w:hAnsi="Times New Roman" w:cs="Times New Roman"/>
          <w:sz w:val="24"/>
          <w:szCs w:val="24"/>
          <w:lang w:val="pt-PT"/>
        </w:rPr>
        <w:t>Além disso, o levantamento das políticas setoriais e o próprio estudo d</w:t>
      </w:r>
      <w:r w:rsidR="00031AEB">
        <w:rPr>
          <w:rFonts w:ascii="Times New Roman" w:hAnsi="Times New Roman" w:cs="Times New Roman"/>
          <w:sz w:val="24"/>
          <w:szCs w:val="24"/>
          <w:lang w:val="pt-PT"/>
        </w:rPr>
        <w:t>e caso exigiram uma extensa consulta a</w:t>
      </w:r>
      <w:r w:rsidR="007C134D">
        <w:rPr>
          <w:rFonts w:ascii="Times New Roman" w:hAnsi="Times New Roman" w:cs="Times New Roman"/>
          <w:sz w:val="24"/>
          <w:szCs w:val="24"/>
          <w:lang w:val="pt-PT"/>
        </w:rPr>
        <w:t xml:space="preserve"> documentos de </w:t>
      </w:r>
      <w:r w:rsidR="002F5DB3">
        <w:rPr>
          <w:rFonts w:ascii="Times New Roman" w:hAnsi="Times New Roman" w:cs="Times New Roman"/>
          <w:sz w:val="24"/>
          <w:szCs w:val="24"/>
          <w:lang w:val="pt-PT"/>
        </w:rPr>
        <w:t>órgãos governamentais como MME</w:t>
      </w:r>
      <w:r w:rsidR="007C134D">
        <w:rPr>
          <w:rFonts w:ascii="Times New Roman" w:hAnsi="Times New Roman" w:cs="Times New Roman"/>
          <w:sz w:val="24"/>
          <w:szCs w:val="24"/>
          <w:lang w:val="pt-PT"/>
        </w:rPr>
        <w:t xml:space="preserve">, EPE, ANP, </w:t>
      </w:r>
      <w:r w:rsidR="009037E0">
        <w:rPr>
          <w:rFonts w:ascii="Times New Roman" w:hAnsi="Times New Roman" w:cs="Times New Roman"/>
          <w:sz w:val="24"/>
          <w:szCs w:val="24"/>
          <w:lang w:val="pt-PT"/>
        </w:rPr>
        <w:t>FINEP, BNDES, EMBRAPA</w:t>
      </w:r>
      <w:r w:rsidR="007C134D">
        <w:rPr>
          <w:rFonts w:ascii="Times New Roman" w:hAnsi="Times New Roman" w:cs="Times New Roman"/>
          <w:sz w:val="24"/>
          <w:szCs w:val="24"/>
          <w:lang w:val="pt-PT"/>
        </w:rPr>
        <w:t>, entre outros</w:t>
      </w:r>
      <w:r w:rsidR="00031AEB">
        <w:rPr>
          <w:rFonts w:ascii="Times New Roman" w:hAnsi="Times New Roman" w:cs="Times New Roman"/>
          <w:sz w:val="24"/>
          <w:szCs w:val="24"/>
          <w:lang w:val="pt-PT"/>
        </w:rPr>
        <w:t xml:space="preserve">. </w:t>
      </w:r>
    </w:p>
    <w:p w:rsidR="00FC3A28" w:rsidRPr="00A6513A" w:rsidRDefault="00FC10E2" w:rsidP="00FC3A28">
      <w:pPr>
        <w:spacing w:line="360" w:lineRule="auto"/>
        <w:ind w:firstLine="708"/>
        <w:rPr>
          <w:rFonts w:ascii="Times New Roman" w:hAnsi="Times New Roman" w:cs="Times New Roman"/>
          <w:sz w:val="24"/>
          <w:szCs w:val="24"/>
        </w:rPr>
      </w:pPr>
      <w:r w:rsidRPr="00A6513A">
        <w:rPr>
          <w:rFonts w:ascii="Times New Roman" w:hAnsi="Times New Roman" w:cs="Times New Roman"/>
          <w:sz w:val="24"/>
          <w:szCs w:val="24"/>
        </w:rPr>
        <w:t>O resultado da pesquisa está estruturado em três capítulos, a</w:t>
      </w:r>
      <w:r w:rsidR="00505D60" w:rsidRPr="00A6513A">
        <w:rPr>
          <w:rFonts w:ascii="Times New Roman" w:hAnsi="Times New Roman" w:cs="Times New Roman"/>
          <w:sz w:val="24"/>
          <w:szCs w:val="24"/>
        </w:rPr>
        <w:t>lém desta Introdução</w:t>
      </w:r>
      <w:r w:rsidRPr="00A6513A">
        <w:rPr>
          <w:rFonts w:ascii="Times New Roman" w:hAnsi="Times New Roman" w:cs="Times New Roman"/>
          <w:sz w:val="24"/>
          <w:szCs w:val="24"/>
        </w:rPr>
        <w:t xml:space="preserve">. </w:t>
      </w:r>
      <w:r w:rsidR="00FC3A28" w:rsidRPr="00A6513A">
        <w:rPr>
          <w:rFonts w:ascii="Times New Roman" w:hAnsi="Times New Roman" w:cs="Times New Roman"/>
          <w:sz w:val="24"/>
          <w:szCs w:val="24"/>
        </w:rPr>
        <w:t>O capítu</w:t>
      </w:r>
      <w:r w:rsidR="00505D60" w:rsidRPr="00A6513A">
        <w:rPr>
          <w:rFonts w:ascii="Times New Roman" w:hAnsi="Times New Roman" w:cs="Times New Roman"/>
          <w:sz w:val="24"/>
          <w:szCs w:val="24"/>
        </w:rPr>
        <w:t xml:space="preserve">lo 1 </w:t>
      </w:r>
      <w:r w:rsidR="00A6513A" w:rsidRPr="00A6513A">
        <w:rPr>
          <w:rFonts w:ascii="Times New Roman" w:hAnsi="Times New Roman" w:cs="Times New Roman"/>
          <w:sz w:val="24"/>
          <w:szCs w:val="24"/>
        </w:rPr>
        <w:t xml:space="preserve">apresenta as </w:t>
      </w:r>
      <w:r w:rsidR="00A6513A" w:rsidRPr="00A6513A">
        <w:rPr>
          <w:rFonts w:ascii="Times New Roman" w:hAnsi="Times New Roman" w:cs="Times New Roman"/>
          <w:sz w:val="24"/>
          <w:szCs w:val="24"/>
          <w:lang w:val="pt-PT"/>
        </w:rPr>
        <w:t>referências que norteiam a análise da evolução da regulação econômica com a dinâmica industrial e a formulação de políticas públicas.</w:t>
      </w:r>
      <w:r w:rsidR="00A6513A" w:rsidRPr="00A6513A">
        <w:rPr>
          <w:rFonts w:ascii="Times New Roman" w:hAnsi="Times New Roman" w:cs="Times New Roman"/>
          <w:sz w:val="24"/>
          <w:szCs w:val="24"/>
        </w:rPr>
        <w:t xml:space="preserve"> Ao final, justifica-se por que a adaptação regulatória deve ser vista como uma importante capacitação do órgão regulador</w:t>
      </w:r>
      <w:r w:rsidR="00EB6BF7" w:rsidRPr="00A6513A">
        <w:rPr>
          <w:rFonts w:ascii="Times New Roman" w:hAnsi="Times New Roman" w:cs="Times New Roman"/>
          <w:sz w:val="24"/>
          <w:szCs w:val="24"/>
        </w:rPr>
        <w:t>.</w:t>
      </w:r>
    </w:p>
    <w:p w:rsidR="00EB6BF7" w:rsidRPr="006D239E" w:rsidRDefault="00EB6BF7" w:rsidP="00EB6BF7">
      <w:pPr>
        <w:spacing w:line="360" w:lineRule="auto"/>
        <w:ind w:firstLine="708"/>
        <w:rPr>
          <w:rFonts w:ascii="Times New Roman" w:hAnsi="Times New Roman" w:cs="Times New Roman"/>
          <w:sz w:val="24"/>
          <w:szCs w:val="24"/>
        </w:rPr>
      </w:pPr>
      <w:r w:rsidRPr="006D239E">
        <w:rPr>
          <w:rFonts w:ascii="Times New Roman" w:hAnsi="Times New Roman" w:cs="Times New Roman"/>
          <w:sz w:val="24"/>
          <w:szCs w:val="24"/>
        </w:rPr>
        <w:t>O capítulo 2 aborda a inovação tecnológica na produção de biocombustíveis e como estas têm potencial para contornar problemas da produção atua</w:t>
      </w:r>
      <w:r w:rsidR="00420082" w:rsidRPr="006D239E">
        <w:rPr>
          <w:rFonts w:ascii="Times New Roman" w:hAnsi="Times New Roman" w:cs="Times New Roman"/>
          <w:sz w:val="24"/>
          <w:szCs w:val="24"/>
        </w:rPr>
        <w:t>l, como a concorrência por recursos produtivos</w:t>
      </w:r>
      <w:r w:rsidRPr="006D239E">
        <w:rPr>
          <w:rFonts w:ascii="Times New Roman" w:hAnsi="Times New Roman" w:cs="Times New Roman"/>
          <w:sz w:val="24"/>
          <w:szCs w:val="24"/>
        </w:rPr>
        <w:t xml:space="preserve"> com a produção de alimentos</w:t>
      </w:r>
      <w:r w:rsidR="00420082" w:rsidRPr="006D239E">
        <w:rPr>
          <w:rFonts w:ascii="Times New Roman" w:hAnsi="Times New Roman" w:cs="Times New Roman"/>
          <w:sz w:val="24"/>
          <w:szCs w:val="24"/>
        </w:rPr>
        <w:t xml:space="preserve"> e as emissões indiretas</w:t>
      </w:r>
      <w:r w:rsidR="0083440E" w:rsidRPr="006D239E">
        <w:rPr>
          <w:rFonts w:ascii="Times New Roman" w:hAnsi="Times New Roman" w:cs="Times New Roman"/>
          <w:sz w:val="24"/>
          <w:szCs w:val="24"/>
        </w:rPr>
        <w:t xml:space="preserve"> de GEE</w:t>
      </w:r>
      <w:r w:rsidR="00420082" w:rsidRPr="006D239E">
        <w:rPr>
          <w:rFonts w:ascii="Times New Roman" w:hAnsi="Times New Roman" w:cs="Times New Roman"/>
          <w:sz w:val="24"/>
          <w:szCs w:val="24"/>
        </w:rPr>
        <w:t>, considerando-se</w:t>
      </w:r>
      <w:r w:rsidRPr="006D239E">
        <w:rPr>
          <w:rFonts w:ascii="Times New Roman" w:hAnsi="Times New Roman" w:cs="Times New Roman"/>
          <w:sz w:val="24"/>
          <w:szCs w:val="24"/>
        </w:rPr>
        <w:t xml:space="preserve"> todo o ciclo de produção.</w:t>
      </w:r>
      <w:r w:rsidR="006A22F3" w:rsidRPr="006D239E">
        <w:rPr>
          <w:rFonts w:ascii="Times New Roman" w:hAnsi="Times New Roman" w:cs="Times New Roman"/>
          <w:sz w:val="24"/>
          <w:szCs w:val="24"/>
        </w:rPr>
        <w:t xml:space="preserve"> Ele se dedica à descrição da estrutura atual da indústria de biocombustíveis e à dinâmica de inovação que tem caractericado </w:t>
      </w:r>
      <w:r w:rsidR="006D239E" w:rsidRPr="006D239E">
        <w:rPr>
          <w:rFonts w:ascii="Times New Roman" w:hAnsi="Times New Roman" w:cs="Times New Roman"/>
          <w:sz w:val="24"/>
          <w:szCs w:val="24"/>
        </w:rPr>
        <w:t>a formação de uma indústria baseada em biomassa, ou bioindústria.</w:t>
      </w:r>
    </w:p>
    <w:p w:rsidR="00832F46" w:rsidRPr="00704BD1" w:rsidRDefault="008B3801" w:rsidP="0067113E">
      <w:pPr>
        <w:spacing w:line="360" w:lineRule="auto"/>
        <w:ind w:firstLine="708"/>
        <w:rPr>
          <w:rFonts w:ascii="Times New Roman" w:hAnsi="Times New Roman" w:cs="Times New Roman"/>
          <w:sz w:val="24"/>
          <w:szCs w:val="24"/>
        </w:rPr>
      </w:pPr>
      <w:r w:rsidRPr="00704BD1">
        <w:rPr>
          <w:rFonts w:ascii="Times New Roman" w:hAnsi="Times New Roman" w:cs="Times New Roman"/>
          <w:sz w:val="24"/>
          <w:szCs w:val="24"/>
        </w:rPr>
        <w:lastRenderedPageBreak/>
        <w:t>Por fim, o</w:t>
      </w:r>
      <w:r w:rsidR="00EB6BF7" w:rsidRPr="00704BD1">
        <w:rPr>
          <w:rFonts w:ascii="Times New Roman" w:hAnsi="Times New Roman" w:cs="Times New Roman"/>
          <w:sz w:val="24"/>
          <w:szCs w:val="24"/>
        </w:rPr>
        <w:t xml:space="preserve"> terce</w:t>
      </w:r>
      <w:r w:rsidR="006A51CD" w:rsidRPr="00704BD1">
        <w:rPr>
          <w:rFonts w:ascii="Times New Roman" w:hAnsi="Times New Roman" w:cs="Times New Roman"/>
          <w:sz w:val="24"/>
          <w:szCs w:val="24"/>
        </w:rPr>
        <w:t>iro c</w:t>
      </w:r>
      <w:r w:rsidRPr="00704BD1">
        <w:rPr>
          <w:rFonts w:ascii="Times New Roman" w:hAnsi="Times New Roman" w:cs="Times New Roman"/>
          <w:sz w:val="24"/>
          <w:szCs w:val="24"/>
        </w:rPr>
        <w:t xml:space="preserve">apítulo </w:t>
      </w:r>
      <w:r w:rsidR="0067113E" w:rsidRPr="00704BD1">
        <w:rPr>
          <w:rFonts w:ascii="Times New Roman" w:hAnsi="Times New Roman" w:cs="Times New Roman"/>
          <w:sz w:val="24"/>
          <w:szCs w:val="24"/>
        </w:rPr>
        <w:t xml:space="preserve">apresenta dois casos, um nos Estados Unidos e outro no Brasil, onde a introdução de novos combustíveis e </w:t>
      </w:r>
      <w:r w:rsidR="00704BD1" w:rsidRPr="00704BD1">
        <w:rPr>
          <w:rFonts w:ascii="Times New Roman" w:hAnsi="Times New Roman" w:cs="Times New Roman"/>
          <w:sz w:val="24"/>
          <w:szCs w:val="24"/>
        </w:rPr>
        <w:t>a criação de novas políticas exigiram do órgão regulador a adaptação das regras vigente</w:t>
      </w:r>
      <w:r w:rsidR="00B55929" w:rsidRPr="00704BD1">
        <w:rPr>
          <w:rFonts w:ascii="Times New Roman" w:hAnsi="Times New Roman" w:cs="Times New Roman"/>
          <w:sz w:val="24"/>
          <w:szCs w:val="24"/>
        </w:rPr>
        <w:t>s.</w:t>
      </w:r>
    </w:p>
    <w:p w:rsidR="002462BC" w:rsidRDefault="002462BC" w:rsidP="002462BC">
      <w:pPr>
        <w:rPr>
          <w:rFonts w:ascii="Times New Roman" w:hAnsi="Times New Roman" w:cs="Times New Roman"/>
          <w:sz w:val="24"/>
          <w:szCs w:val="24"/>
          <w:lang w:val="pt-PT"/>
        </w:rPr>
      </w:pPr>
    </w:p>
    <w:p w:rsidR="00EC06C5" w:rsidRPr="005B6056" w:rsidRDefault="00FB5E76" w:rsidP="005B6056">
      <w:pPr>
        <w:pStyle w:val="Ttulo1"/>
      </w:pPr>
      <w:r>
        <w:br w:type="page"/>
      </w:r>
      <w:bookmarkStart w:id="1" w:name="_Toc333911331"/>
      <w:r w:rsidR="004C6D64" w:rsidRPr="005B6056">
        <w:lastRenderedPageBreak/>
        <w:t>CAPÍTULO</w:t>
      </w:r>
      <w:r w:rsidR="00255AF6" w:rsidRPr="005B6056">
        <w:t xml:space="preserve"> 1: </w:t>
      </w:r>
      <w:r w:rsidR="00FF0AB0" w:rsidRPr="005B6056">
        <w:t>a re</w:t>
      </w:r>
      <w:r w:rsidR="004E6797" w:rsidRPr="005B6056">
        <w:t>gulação econômica sob a perspectiva</w:t>
      </w:r>
      <w:r w:rsidR="00FF0AB0" w:rsidRPr="005B6056">
        <w:t xml:space="preserve"> evolucionári</w:t>
      </w:r>
      <w:r w:rsidR="004E6797" w:rsidRPr="005B6056">
        <w:t>a</w:t>
      </w:r>
      <w:bookmarkEnd w:id="1"/>
    </w:p>
    <w:p w:rsidR="007D6A76" w:rsidRDefault="007D6A76" w:rsidP="006050D1">
      <w:pPr>
        <w:spacing w:line="360" w:lineRule="auto"/>
        <w:rPr>
          <w:rFonts w:ascii="Times New Roman" w:hAnsi="Times New Roman" w:cs="Times New Roman"/>
          <w:sz w:val="24"/>
          <w:szCs w:val="24"/>
          <w:lang w:val="pt-PT"/>
        </w:rPr>
      </w:pPr>
    </w:p>
    <w:p w:rsidR="00F6610A" w:rsidRDefault="00FF0AB0" w:rsidP="00FF0AB0">
      <w:pPr>
        <w:spacing w:line="360" w:lineRule="auto"/>
        <w:ind w:firstLine="708"/>
        <w:rPr>
          <w:rFonts w:ascii="Times New Roman" w:hAnsi="Times New Roman" w:cs="Times New Roman"/>
          <w:sz w:val="24"/>
          <w:szCs w:val="24"/>
          <w:lang w:val="pt-PT"/>
        </w:rPr>
      </w:pPr>
      <w:r w:rsidRPr="00FF0AB0">
        <w:rPr>
          <w:rFonts w:ascii="Times New Roman" w:hAnsi="Times New Roman" w:cs="Times New Roman"/>
          <w:sz w:val="24"/>
          <w:szCs w:val="24"/>
          <w:lang w:val="pt-PT"/>
        </w:rPr>
        <w:t>Este</w:t>
      </w:r>
      <w:r w:rsidR="00F6610A">
        <w:rPr>
          <w:rFonts w:ascii="Times New Roman" w:hAnsi="Times New Roman" w:cs="Times New Roman"/>
          <w:sz w:val="24"/>
          <w:szCs w:val="24"/>
          <w:lang w:val="pt-PT"/>
        </w:rPr>
        <w:t xml:space="preserve"> é um</w:t>
      </w:r>
      <w:r w:rsidRPr="00FF0AB0">
        <w:rPr>
          <w:rFonts w:ascii="Times New Roman" w:hAnsi="Times New Roman" w:cs="Times New Roman"/>
          <w:sz w:val="24"/>
          <w:szCs w:val="24"/>
          <w:lang w:val="pt-PT"/>
        </w:rPr>
        <w:t xml:space="preserve"> capítulo</w:t>
      </w:r>
      <w:r w:rsidR="00F6610A">
        <w:rPr>
          <w:rFonts w:ascii="Times New Roman" w:hAnsi="Times New Roman" w:cs="Times New Roman"/>
          <w:sz w:val="24"/>
          <w:szCs w:val="24"/>
          <w:lang w:val="pt-PT"/>
        </w:rPr>
        <w:t xml:space="preserve"> teórico, que</w:t>
      </w:r>
      <w:r w:rsidRPr="00FF0AB0">
        <w:rPr>
          <w:rFonts w:ascii="Times New Roman" w:hAnsi="Times New Roman" w:cs="Times New Roman"/>
          <w:sz w:val="24"/>
          <w:szCs w:val="24"/>
          <w:lang w:val="pt-PT"/>
        </w:rPr>
        <w:t xml:space="preserve"> </w:t>
      </w:r>
      <w:r w:rsidR="00F6610A">
        <w:rPr>
          <w:rFonts w:ascii="Times New Roman" w:hAnsi="Times New Roman" w:cs="Times New Roman"/>
          <w:sz w:val="24"/>
          <w:szCs w:val="24"/>
          <w:lang w:val="pt-PT"/>
        </w:rPr>
        <w:t>busca apresentar as referências que embasam</w:t>
      </w:r>
      <w:r w:rsidRPr="00FF0AB0">
        <w:rPr>
          <w:rFonts w:ascii="Times New Roman" w:hAnsi="Times New Roman" w:cs="Times New Roman"/>
          <w:sz w:val="24"/>
          <w:szCs w:val="24"/>
          <w:lang w:val="pt-PT"/>
        </w:rPr>
        <w:t xml:space="preserve"> a compreensão dos elementos relevantes na análise da evolução da regulação econômica com a dinâmica industrial. Sua</w:t>
      </w:r>
      <w:r w:rsidR="00AE153A" w:rsidRPr="00FF0AB0">
        <w:rPr>
          <w:rFonts w:ascii="Times New Roman" w:hAnsi="Times New Roman" w:cs="Times New Roman"/>
          <w:sz w:val="24"/>
          <w:szCs w:val="24"/>
          <w:lang w:val="pt-PT"/>
        </w:rPr>
        <w:t xml:space="preserve"> estrutura se divide</w:t>
      </w:r>
      <w:r w:rsidR="007E104C" w:rsidRPr="00FF0AB0">
        <w:rPr>
          <w:rFonts w:ascii="Times New Roman" w:hAnsi="Times New Roman" w:cs="Times New Roman"/>
          <w:sz w:val="24"/>
          <w:szCs w:val="24"/>
          <w:lang w:val="pt-PT"/>
        </w:rPr>
        <w:t xml:space="preserve"> em </w:t>
      </w:r>
      <w:r w:rsidR="00F6610A">
        <w:rPr>
          <w:rFonts w:ascii="Times New Roman" w:hAnsi="Times New Roman" w:cs="Times New Roman"/>
          <w:sz w:val="24"/>
          <w:szCs w:val="24"/>
          <w:lang w:val="pt-PT"/>
        </w:rPr>
        <w:t>seis</w:t>
      </w:r>
      <w:r w:rsidR="009C0EE0" w:rsidRPr="00FF0AB0">
        <w:rPr>
          <w:rFonts w:ascii="Times New Roman" w:hAnsi="Times New Roman" w:cs="Times New Roman"/>
          <w:sz w:val="24"/>
          <w:szCs w:val="24"/>
          <w:lang w:val="pt-PT"/>
        </w:rPr>
        <w:t xml:space="preserve"> seções</w:t>
      </w:r>
      <w:r w:rsidR="00777BAD" w:rsidRPr="00FF0AB0">
        <w:rPr>
          <w:rFonts w:ascii="Times New Roman" w:hAnsi="Times New Roman" w:cs="Times New Roman"/>
          <w:sz w:val="24"/>
          <w:szCs w:val="24"/>
          <w:lang w:val="pt-PT"/>
        </w:rPr>
        <w:t>, além desta nota introdutória</w:t>
      </w:r>
      <w:r w:rsidR="00AE153A" w:rsidRPr="00FF0AB0">
        <w:rPr>
          <w:rFonts w:ascii="Times New Roman" w:hAnsi="Times New Roman" w:cs="Times New Roman"/>
          <w:sz w:val="24"/>
          <w:szCs w:val="24"/>
          <w:lang w:val="pt-PT"/>
        </w:rPr>
        <w:t xml:space="preserve">. </w:t>
      </w:r>
    </w:p>
    <w:p w:rsidR="00AE153A" w:rsidRPr="00FF0AB0" w:rsidRDefault="00777BAD" w:rsidP="00FF0AB0">
      <w:pPr>
        <w:spacing w:line="360" w:lineRule="auto"/>
        <w:ind w:firstLine="708"/>
        <w:rPr>
          <w:rFonts w:ascii="Times New Roman" w:hAnsi="Times New Roman" w:cs="Times New Roman"/>
          <w:sz w:val="24"/>
          <w:szCs w:val="24"/>
          <w:lang w:val="pt-PT"/>
        </w:rPr>
      </w:pPr>
      <w:r w:rsidRPr="00FF0AB0">
        <w:rPr>
          <w:rFonts w:ascii="Times New Roman" w:hAnsi="Times New Roman" w:cs="Times New Roman"/>
          <w:sz w:val="24"/>
          <w:szCs w:val="24"/>
          <w:lang w:val="pt-PT"/>
        </w:rPr>
        <w:t>Na primeira</w:t>
      </w:r>
      <w:r w:rsidR="00F6610A">
        <w:rPr>
          <w:rFonts w:ascii="Times New Roman" w:hAnsi="Times New Roman" w:cs="Times New Roman"/>
          <w:sz w:val="24"/>
          <w:szCs w:val="24"/>
          <w:lang w:val="pt-PT"/>
        </w:rPr>
        <w:t xml:space="preserve">, </w:t>
      </w:r>
      <w:r w:rsidR="00EC2FC2">
        <w:rPr>
          <w:rFonts w:ascii="Times New Roman" w:hAnsi="Times New Roman" w:cs="Times New Roman"/>
          <w:sz w:val="24"/>
          <w:szCs w:val="24"/>
          <w:lang w:val="pt-PT"/>
        </w:rPr>
        <w:t>discute-se de que maneira</w:t>
      </w:r>
      <w:r w:rsidR="00FF0AB0" w:rsidRPr="00FF0AB0">
        <w:rPr>
          <w:rFonts w:ascii="Times New Roman" w:hAnsi="Times New Roman" w:cs="Times New Roman"/>
          <w:sz w:val="24"/>
          <w:szCs w:val="24"/>
          <w:lang w:val="pt-PT"/>
        </w:rPr>
        <w:t xml:space="preserve"> a intervenção</w:t>
      </w:r>
      <w:r w:rsidR="00FC10E2" w:rsidRPr="00FF0AB0">
        <w:rPr>
          <w:rFonts w:ascii="Times New Roman" w:hAnsi="Times New Roman" w:cs="Times New Roman"/>
          <w:sz w:val="24"/>
          <w:szCs w:val="24"/>
          <w:lang w:val="pt-PT"/>
        </w:rPr>
        <w:t xml:space="preserve"> governamental </w:t>
      </w:r>
      <w:r w:rsidR="00791760" w:rsidRPr="00FF0AB0">
        <w:rPr>
          <w:rFonts w:ascii="Times New Roman" w:hAnsi="Times New Roman" w:cs="Times New Roman"/>
          <w:sz w:val="24"/>
          <w:szCs w:val="24"/>
          <w:lang w:val="pt-PT"/>
        </w:rPr>
        <w:t>no sistema econômic</w:t>
      </w:r>
      <w:r w:rsidR="00FF0AB0" w:rsidRPr="00FF0AB0">
        <w:rPr>
          <w:rFonts w:ascii="Times New Roman" w:hAnsi="Times New Roman" w:cs="Times New Roman"/>
          <w:sz w:val="24"/>
          <w:szCs w:val="24"/>
          <w:lang w:val="pt-PT"/>
        </w:rPr>
        <w:t>o</w:t>
      </w:r>
      <w:r w:rsidR="00493F17">
        <w:rPr>
          <w:rFonts w:ascii="Times New Roman" w:hAnsi="Times New Roman" w:cs="Times New Roman"/>
          <w:sz w:val="24"/>
          <w:szCs w:val="24"/>
          <w:lang w:val="pt-PT"/>
        </w:rPr>
        <w:t xml:space="preserve">, </w:t>
      </w:r>
      <w:r w:rsidR="00EC2FC2">
        <w:rPr>
          <w:rFonts w:ascii="Times New Roman" w:hAnsi="Times New Roman" w:cs="Times New Roman"/>
          <w:sz w:val="24"/>
          <w:szCs w:val="24"/>
          <w:lang w:val="pt-PT"/>
        </w:rPr>
        <w:t>à luz dos argumentos apresentados por autores institucionalistas</w:t>
      </w:r>
      <w:r w:rsidR="00493F17">
        <w:rPr>
          <w:rFonts w:ascii="Times New Roman" w:hAnsi="Times New Roman" w:cs="Times New Roman"/>
          <w:sz w:val="24"/>
          <w:szCs w:val="24"/>
          <w:lang w:val="pt-PT"/>
        </w:rPr>
        <w:t xml:space="preserve">, </w:t>
      </w:r>
      <w:r w:rsidR="00EC2FC2">
        <w:rPr>
          <w:rFonts w:ascii="Times New Roman" w:hAnsi="Times New Roman" w:cs="Times New Roman"/>
          <w:sz w:val="24"/>
          <w:szCs w:val="24"/>
          <w:lang w:val="pt-PT"/>
        </w:rPr>
        <w:t xml:space="preserve">pode auxiliar na </w:t>
      </w:r>
      <w:r w:rsidR="00493F17">
        <w:rPr>
          <w:rFonts w:ascii="Times New Roman" w:hAnsi="Times New Roman" w:cs="Times New Roman"/>
          <w:sz w:val="24"/>
          <w:szCs w:val="24"/>
          <w:lang w:val="pt-PT"/>
        </w:rPr>
        <w:t>promoção do desenvolvimento econômico.</w:t>
      </w:r>
      <w:r w:rsidR="00BF42DB">
        <w:rPr>
          <w:rFonts w:ascii="Times New Roman" w:hAnsi="Times New Roman" w:cs="Times New Roman"/>
          <w:sz w:val="24"/>
          <w:szCs w:val="24"/>
          <w:lang w:val="pt-PT"/>
        </w:rPr>
        <w:t xml:space="preserve"> Destaca-se, sobretudo, a importância da coordenação de interesses em</w:t>
      </w:r>
      <w:r w:rsidR="004E6797">
        <w:rPr>
          <w:rFonts w:ascii="Times New Roman" w:hAnsi="Times New Roman" w:cs="Times New Roman"/>
          <w:sz w:val="24"/>
          <w:szCs w:val="24"/>
          <w:lang w:val="pt-PT"/>
        </w:rPr>
        <w:t xml:space="preserve"> setores de infraestrutura e em</w:t>
      </w:r>
      <w:r w:rsidR="00BF42DB">
        <w:rPr>
          <w:rFonts w:ascii="Times New Roman" w:hAnsi="Times New Roman" w:cs="Times New Roman"/>
          <w:sz w:val="24"/>
          <w:szCs w:val="24"/>
          <w:lang w:val="pt-PT"/>
        </w:rPr>
        <w:t xml:space="preserve"> contextos de incerteza e racionalidade limitada.</w:t>
      </w:r>
    </w:p>
    <w:p w:rsidR="00493F17" w:rsidRPr="00493F17" w:rsidRDefault="00A16CF9" w:rsidP="009B2A63">
      <w:pPr>
        <w:spacing w:line="360" w:lineRule="auto"/>
        <w:ind w:firstLine="708"/>
        <w:rPr>
          <w:rFonts w:ascii="Times New Roman" w:hAnsi="Times New Roman" w:cs="Times New Roman"/>
          <w:sz w:val="24"/>
          <w:szCs w:val="24"/>
          <w:lang w:val="pt-PT"/>
        </w:rPr>
      </w:pPr>
      <w:r w:rsidRPr="00493F17">
        <w:rPr>
          <w:rFonts w:ascii="Times New Roman" w:hAnsi="Times New Roman" w:cs="Times New Roman"/>
          <w:sz w:val="24"/>
          <w:szCs w:val="24"/>
          <w:lang w:val="pt-PT"/>
        </w:rPr>
        <w:t xml:space="preserve">A relação entre </w:t>
      </w:r>
      <w:r w:rsidR="00493F17" w:rsidRPr="00493F17">
        <w:rPr>
          <w:rFonts w:ascii="Times New Roman" w:hAnsi="Times New Roman" w:cs="Times New Roman"/>
          <w:sz w:val="24"/>
          <w:szCs w:val="24"/>
          <w:lang w:val="pt-PT"/>
        </w:rPr>
        <w:t xml:space="preserve">a </w:t>
      </w:r>
      <w:r w:rsidRPr="00493F17">
        <w:rPr>
          <w:rFonts w:ascii="Times New Roman" w:hAnsi="Times New Roman" w:cs="Times New Roman"/>
          <w:sz w:val="24"/>
          <w:szCs w:val="24"/>
          <w:lang w:val="pt-PT"/>
        </w:rPr>
        <w:t xml:space="preserve">regulação e </w:t>
      </w:r>
      <w:r w:rsidR="00493F17" w:rsidRPr="00493F17">
        <w:rPr>
          <w:rFonts w:ascii="Times New Roman" w:hAnsi="Times New Roman" w:cs="Times New Roman"/>
          <w:sz w:val="24"/>
          <w:szCs w:val="24"/>
          <w:lang w:val="pt-PT"/>
        </w:rPr>
        <w:t xml:space="preserve">outras </w:t>
      </w:r>
      <w:r w:rsidRPr="00493F17">
        <w:rPr>
          <w:rFonts w:ascii="Times New Roman" w:hAnsi="Times New Roman" w:cs="Times New Roman"/>
          <w:sz w:val="24"/>
          <w:szCs w:val="24"/>
          <w:lang w:val="pt-PT"/>
        </w:rPr>
        <w:t xml:space="preserve">políticas setoriais é discutida </w:t>
      </w:r>
      <w:r w:rsidR="009C0EE0" w:rsidRPr="00493F17">
        <w:rPr>
          <w:rFonts w:ascii="Times New Roman" w:hAnsi="Times New Roman" w:cs="Times New Roman"/>
          <w:sz w:val="24"/>
          <w:szCs w:val="24"/>
          <w:lang w:val="pt-PT"/>
        </w:rPr>
        <w:t xml:space="preserve">na </w:t>
      </w:r>
      <w:r w:rsidR="00777BAD" w:rsidRPr="00493F17">
        <w:rPr>
          <w:rFonts w:ascii="Times New Roman" w:hAnsi="Times New Roman" w:cs="Times New Roman"/>
          <w:sz w:val="24"/>
          <w:szCs w:val="24"/>
          <w:lang w:val="pt-PT"/>
        </w:rPr>
        <w:t>segunda</w:t>
      </w:r>
      <w:r w:rsidR="009C0EE0" w:rsidRPr="00493F17">
        <w:rPr>
          <w:rFonts w:ascii="Times New Roman" w:hAnsi="Times New Roman" w:cs="Times New Roman"/>
          <w:sz w:val="24"/>
          <w:szCs w:val="24"/>
          <w:lang w:val="pt-PT"/>
        </w:rPr>
        <w:t xml:space="preserve"> seção</w:t>
      </w:r>
      <w:r w:rsidR="00944F2C" w:rsidRPr="00493F17">
        <w:rPr>
          <w:rFonts w:ascii="Times New Roman" w:hAnsi="Times New Roman" w:cs="Times New Roman"/>
          <w:sz w:val="24"/>
          <w:szCs w:val="24"/>
          <w:lang w:val="pt-PT"/>
        </w:rPr>
        <w:t xml:space="preserve">, destacando que, apesar de autônomas, </w:t>
      </w:r>
      <w:r w:rsidR="009C0EE0" w:rsidRPr="00493F17">
        <w:rPr>
          <w:rFonts w:ascii="Times New Roman" w:hAnsi="Times New Roman" w:cs="Times New Roman"/>
          <w:sz w:val="24"/>
          <w:szCs w:val="24"/>
          <w:lang w:val="pt-PT"/>
        </w:rPr>
        <w:t xml:space="preserve">elas </w:t>
      </w:r>
      <w:r w:rsidR="00944F2C" w:rsidRPr="00493F17">
        <w:rPr>
          <w:rFonts w:ascii="Times New Roman" w:hAnsi="Times New Roman" w:cs="Times New Roman"/>
          <w:sz w:val="24"/>
          <w:szCs w:val="24"/>
          <w:lang w:val="pt-PT"/>
        </w:rPr>
        <w:t>devem ser atividades coordenadas e alinhadas com diretrizes traçadas em um planejamento de longo prazo.</w:t>
      </w:r>
      <w:r w:rsidR="009B2A63" w:rsidRPr="00493F17">
        <w:rPr>
          <w:rFonts w:ascii="Times New Roman" w:hAnsi="Times New Roman" w:cs="Times New Roman"/>
          <w:sz w:val="24"/>
          <w:szCs w:val="24"/>
          <w:lang w:val="pt-PT"/>
        </w:rPr>
        <w:t xml:space="preserve"> </w:t>
      </w:r>
    </w:p>
    <w:p w:rsidR="007732F3" w:rsidRPr="00493F17" w:rsidRDefault="009B2A63" w:rsidP="009B2A63">
      <w:pPr>
        <w:spacing w:line="360" w:lineRule="auto"/>
        <w:ind w:firstLine="708"/>
        <w:rPr>
          <w:rFonts w:ascii="Times New Roman" w:hAnsi="Times New Roman" w:cs="Times New Roman"/>
          <w:sz w:val="24"/>
          <w:szCs w:val="24"/>
          <w:lang w:val="pt-PT"/>
        </w:rPr>
      </w:pPr>
      <w:r w:rsidRPr="00493F17">
        <w:rPr>
          <w:rFonts w:ascii="Times New Roman" w:hAnsi="Times New Roman" w:cs="Times New Roman"/>
          <w:sz w:val="24"/>
          <w:szCs w:val="24"/>
          <w:lang w:val="pt-PT"/>
        </w:rPr>
        <w:t>Logo e</w:t>
      </w:r>
      <w:r w:rsidR="00FC10E2" w:rsidRPr="00493F17">
        <w:rPr>
          <w:rFonts w:ascii="Times New Roman" w:hAnsi="Times New Roman" w:cs="Times New Roman"/>
          <w:sz w:val="24"/>
          <w:szCs w:val="24"/>
          <w:lang w:val="pt-PT"/>
        </w:rPr>
        <w:t xml:space="preserve">m seguida, </w:t>
      </w:r>
      <w:r w:rsidR="00493F17" w:rsidRPr="00493F17">
        <w:rPr>
          <w:rFonts w:ascii="Times New Roman" w:hAnsi="Times New Roman" w:cs="Times New Roman"/>
          <w:sz w:val="24"/>
          <w:szCs w:val="24"/>
          <w:lang w:val="pt-PT"/>
        </w:rPr>
        <w:t>apresentam-se os elementos teóricos que auxiliam nossa compreensão acerca das estratégias empresariais de inovação e da dinâmica industrial.</w:t>
      </w:r>
      <w:r w:rsidR="00F6610A">
        <w:rPr>
          <w:rFonts w:ascii="Times New Roman" w:hAnsi="Times New Roman" w:cs="Times New Roman"/>
          <w:sz w:val="24"/>
          <w:szCs w:val="24"/>
          <w:lang w:val="pt-PT"/>
        </w:rPr>
        <w:t xml:space="preserve"> A quarta seção busca discutir a importância das instituições nos processos de mudança tecnológica, ao passo que a quinta seção faz a ligação entre a regulação</w:t>
      </w:r>
      <w:r w:rsidR="008C571D">
        <w:rPr>
          <w:rFonts w:ascii="Times New Roman" w:hAnsi="Times New Roman" w:cs="Times New Roman"/>
          <w:sz w:val="24"/>
          <w:szCs w:val="24"/>
          <w:lang w:val="pt-PT"/>
        </w:rPr>
        <w:t>, as políticas públicas</w:t>
      </w:r>
      <w:r w:rsidR="00F6610A">
        <w:rPr>
          <w:rFonts w:ascii="Times New Roman" w:hAnsi="Times New Roman" w:cs="Times New Roman"/>
          <w:sz w:val="24"/>
          <w:szCs w:val="24"/>
          <w:lang w:val="pt-PT"/>
        </w:rPr>
        <w:t xml:space="preserve"> e a dinâmica industrial, desenvolvendo o conceito de </w:t>
      </w:r>
      <w:r w:rsidR="00F6610A" w:rsidRPr="00A6513A">
        <w:rPr>
          <w:rFonts w:ascii="Times New Roman" w:hAnsi="Times New Roman" w:cs="Times New Roman"/>
          <w:sz w:val="24"/>
          <w:szCs w:val="24"/>
          <w:lang w:val="pt-PT"/>
        </w:rPr>
        <w:t>adaptação regulatória</w:t>
      </w:r>
      <w:r w:rsidR="00F6610A">
        <w:rPr>
          <w:rFonts w:ascii="Times New Roman" w:hAnsi="Times New Roman" w:cs="Times New Roman"/>
          <w:sz w:val="24"/>
          <w:szCs w:val="24"/>
          <w:lang w:val="pt-PT"/>
        </w:rPr>
        <w:t>.</w:t>
      </w:r>
    </w:p>
    <w:p w:rsidR="001202F2" w:rsidRDefault="001202F2" w:rsidP="004C6D64">
      <w:pPr>
        <w:spacing w:line="360" w:lineRule="auto"/>
        <w:ind w:firstLine="708"/>
        <w:rPr>
          <w:rFonts w:ascii="Times New Roman" w:hAnsi="Times New Roman" w:cs="Times New Roman"/>
          <w:sz w:val="24"/>
          <w:szCs w:val="24"/>
          <w:lang w:val="pt-PT"/>
        </w:rPr>
      </w:pPr>
    </w:p>
    <w:p w:rsidR="00E678F9" w:rsidRPr="004C6D64" w:rsidRDefault="005A6636" w:rsidP="00D367B9">
      <w:pPr>
        <w:pStyle w:val="Ttulo2"/>
      </w:pPr>
      <w:bookmarkStart w:id="2" w:name="_Toc333911332"/>
      <w:r>
        <w:t>1.1</w:t>
      </w:r>
      <w:r w:rsidR="00F802FB" w:rsidRPr="004C6D64">
        <w:t xml:space="preserve"> </w:t>
      </w:r>
      <w:r w:rsidR="00E678F9" w:rsidRPr="004C6D64">
        <w:t>A Intervenção governamental no sistema econômico</w:t>
      </w:r>
      <w:bookmarkEnd w:id="2"/>
    </w:p>
    <w:p w:rsidR="00E678F9" w:rsidRDefault="00E678F9" w:rsidP="00E678F9">
      <w:pPr>
        <w:spacing w:line="360" w:lineRule="auto"/>
        <w:rPr>
          <w:rFonts w:ascii="Times New Roman" w:hAnsi="Times New Roman" w:cs="Times New Roman"/>
          <w:sz w:val="24"/>
          <w:szCs w:val="24"/>
          <w:lang w:val="pt-PT"/>
        </w:rPr>
      </w:pPr>
    </w:p>
    <w:p w:rsidR="009D28A5" w:rsidRDefault="009D28A5" w:rsidP="009D28A5">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Antes de fazer</w:t>
      </w:r>
      <w:r w:rsidRPr="00A003AB">
        <w:rPr>
          <w:rFonts w:ascii="Times New Roman" w:hAnsi="Times New Roman" w:cs="Times New Roman"/>
          <w:sz w:val="24"/>
          <w:szCs w:val="24"/>
          <w:lang w:val="pt-PT"/>
        </w:rPr>
        <w:t xml:space="preserve"> c</w:t>
      </w:r>
      <w:r>
        <w:rPr>
          <w:rFonts w:ascii="Times New Roman" w:hAnsi="Times New Roman" w:cs="Times New Roman"/>
          <w:sz w:val="24"/>
          <w:szCs w:val="24"/>
          <w:lang w:val="pt-PT"/>
        </w:rPr>
        <w:t>onsiderações sobre a regulação,</w:t>
      </w:r>
      <w:r w:rsidRPr="00A003AB">
        <w:rPr>
          <w:rFonts w:ascii="Times New Roman" w:hAnsi="Times New Roman" w:cs="Times New Roman"/>
          <w:sz w:val="24"/>
          <w:szCs w:val="24"/>
          <w:lang w:val="pt-PT"/>
        </w:rPr>
        <w:t xml:space="preserve"> sua relação com dem</w:t>
      </w:r>
      <w:r>
        <w:rPr>
          <w:rFonts w:ascii="Times New Roman" w:hAnsi="Times New Roman" w:cs="Times New Roman"/>
          <w:sz w:val="24"/>
          <w:szCs w:val="24"/>
          <w:lang w:val="pt-PT"/>
        </w:rPr>
        <w:t>ais políticas setoriais e com a estrutura dos mercad</w:t>
      </w:r>
      <w:r w:rsidR="004E6797">
        <w:rPr>
          <w:rFonts w:ascii="Times New Roman" w:hAnsi="Times New Roman" w:cs="Times New Roman"/>
          <w:sz w:val="24"/>
          <w:szCs w:val="24"/>
          <w:lang w:val="pt-PT"/>
        </w:rPr>
        <w:t>os regulados, é interessante</w:t>
      </w:r>
      <w:r>
        <w:rPr>
          <w:rFonts w:ascii="Times New Roman" w:hAnsi="Times New Roman" w:cs="Times New Roman"/>
          <w:sz w:val="24"/>
          <w:szCs w:val="24"/>
          <w:lang w:val="pt-PT"/>
        </w:rPr>
        <w:t xml:space="preserve"> inici</w:t>
      </w:r>
      <w:r w:rsidR="004E6797">
        <w:rPr>
          <w:rFonts w:ascii="Times New Roman" w:hAnsi="Times New Roman" w:cs="Times New Roman"/>
          <w:sz w:val="24"/>
          <w:szCs w:val="24"/>
          <w:lang w:val="pt-PT"/>
        </w:rPr>
        <w:t>almente termos uma breve discussão acerca dos motivos que tornam a intervenção governamental tão importante para o desenvolvimento econômico</w:t>
      </w:r>
      <w:r w:rsidRPr="00A003AB">
        <w:rPr>
          <w:rFonts w:ascii="Times New Roman" w:hAnsi="Times New Roman" w:cs="Times New Roman"/>
          <w:sz w:val="24"/>
          <w:szCs w:val="24"/>
          <w:lang w:val="pt-PT"/>
        </w:rPr>
        <w:t xml:space="preserve">. </w:t>
      </w:r>
      <w:r w:rsidR="00EA0236">
        <w:rPr>
          <w:rFonts w:ascii="Times New Roman" w:hAnsi="Times New Roman" w:cs="Times New Roman"/>
          <w:sz w:val="24"/>
          <w:szCs w:val="24"/>
          <w:lang w:val="pt-PT"/>
        </w:rPr>
        <w:t xml:space="preserve">Faz sentido </w:t>
      </w:r>
      <w:r w:rsidR="00081C16">
        <w:rPr>
          <w:rFonts w:ascii="Times New Roman" w:hAnsi="Times New Roman" w:cs="Times New Roman"/>
          <w:sz w:val="24"/>
          <w:szCs w:val="24"/>
          <w:lang w:val="pt-PT"/>
        </w:rPr>
        <w:t xml:space="preserve">que </w:t>
      </w:r>
      <w:r w:rsidR="00EA0236">
        <w:rPr>
          <w:rFonts w:ascii="Times New Roman" w:hAnsi="Times New Roman" w:cs="Times New Roman"/>
          <w:sz w:val="24"/>
          <w:szCs w:val="24"/>
          <w:lang w:val="pt-PT"/>
        </w:rPr>
        <w:t>este tema</w:t>
      </w:r>
      <w:r w:rsidR="00081C16">
        <w:rPr>
          <w:rFonts w:ascii="Times New Roman" w:hAnsi="Times New Roman" w:cs="Times New Roman"/>
          <w:sz w:val="24"/>
          <w:szCs w:val="24"/>
          <w:lang w:val="pt-PT"/>
        </w:rPr>
        <w:t xml:space="preserve"> seja tratado</w:t>
      </w:r>
      <w:r w:rsidR="006334E6">
        <w:rPr>
          <w:rFonts w:ascii="Times New Roman" w:hAnsi="Times New Roman" w:cs="Times New Roman"/>
          <w:sz w:val="24"/>
          <w:szCs w:val="24"/>
          <w:lang w:val="pt-PT"/>
        </w:rPr>
        <w:t xml:space="preserve"> com cuidado</w:t>
      </w:r>
      <w:r w:rsidR="00EA0236">
        <w:rPr>
          <w:rFonts w:ascii="Times New Roman" w:hAnsi="Times New Roman" w:cs="Times New Roman"/>
          <w:sz w:val="24"/>
          <w:szCs w:val="24"/>
          <w:lang w:val="pt-PT"/>
        </w:rPr>
        <w:t>, pois t</w:t>
      </w:r>
      <w:r w:rsidRPr="00A003AB">
        <w:rPr>
          <w:rFonts w:ascii="Times New Roman" w:hAnsi="Times New Roman" w:cs="Times New Roman"/>
          <w:sz w:val="24"/>
          <w:szCs w:val="24"/>
          <w:lang w:val="pt-PT"/>
        </w:rPr>
        <w:t>anto a regulação como as políticas públicas</w:t>
      </w:r>
      <w:r w:rsidR="00EA0236">
        <w:rPr>
          <w:rFonts w:ascii="Times New Roman" w:hAnsi="Times New Roman" w:cs="Times New Roman"/>
          <w:sz w:val="24"/>
          <w:szCs w:val="24"/>
          <w:lang w:val="pt-PT"/>
        </w:rPr>
        <w:t xml:space="preserve"> são instrumentos dos quais o governo dispõe para constituir</w:t>
      </w:r>
      <w:r w:rsidRPr="00A003AB">
        <w:rPr>
          <w:rFonts w:ascii="Times New Roman" w:hAnsi="Times New Roman" w:cs="Times New Roman"/>
          <w:sz w:val="24"/>
          <w:szCs w:val="24"/>
          <w:lang w:val="pt-PT"/>
        </w:rPr>
        <w:t xml:space="preserve"> estruturas de incentivos que governam as decisões de </w:t>
      </w:r>
      <w:r w:rsidR="002959B7">
        <w:rPr>
          <w:rFonts w:ascii="Times New Roman" w:hAnsi="Times New Roman" w:cs="Times New Roman"/>
          <w:sz w:val="24"/>
          <w:szCs w:val="24"/>
          <w:lang w:val="pt-PT"/>
        </w:rPr>
        <w:t>agentes privados. A</w:t>
      </w:r>
      <w:r w:rsidRPr="00A003AB">
        <w:rPr>
          <w:rFonts w:ascii="Times New Roman" w:hAnsi="Times New Roman" w:cs="Times New Roman"/>
          <w:sz w:val="24"/>
          <w:szCs w:val="24"/>
          <w:lang w:val="pt-PT"/>
        </w:rPr>
        <w:t>s leis, regulamentações e medidas fiscais exercem pressão sobre a indústria ao moldar as condições</w:t>
      </w:r>
      <w:r w:rsidR="002959B7">
        <w:rPr>
          <w:rFonts w:ascii="Times New Roman" w:hAnsi="Times New Roman" w:cs="Times New Roman"/>
          <w:sz w:val="24"/>
          <w:szCs w:val="24"/>
          <w:lang w:val="pt-PT"/>
        </w:rPr>
        <w:t xml:space="preserve"> econômicas de contorno,</w:t>
      </w:r>
      <w:r w:rsidR="00E3534A">
        <w:rPr>
          <w:rFonts w:ascii="Times New Roman" w:hAnsi="Times New Roman" w:cs="Times New Roman"/>
          <w:sz w:val="24"/>
          <w:szCs w:val="24"/>
          <w:lang w:val="pt-PT"/>
        </w:rPr>
        <w:t xml:space="preserve"> podendo</w:t>
      </w:r>
      <w:r w:rsidRPr="00A003AB">
        <w:rPr>
          <w:rFonts w:ascii="Times New Roman" w:hAnsi="Times New Roman" w:cs="Times New Roman"/>
          <w:sz w:val="24"/>
          <w:szCs w:val="24"/>
          <w:lang w:val="pt-PT"/>
        </w:rPr>
        <w:t xml:space="preserve"> ser vistas como incentivos externos </w:t>
      </w:r>
      <w:r>
        <w:rPr>
          <w:rFonts w:ascii="Times New Roman" w:hAnsi="Times New Roman" w:cs="Times New Roman"/>
          <w:sz w:val="24"/>
          <w:szCs w:val="24"/>
          <w:lang w:val="pt-PT"/>
        </w:rPr>
        <w:t>aos quais os agentes da indústria devem responder, normalmente por meio de coerção</w:t>
      </w:r>
      <w:r w:rsidR="008B7150">
        <w:rPr>
          <w:rFonts w:ascii="Times New Roman" w:hAnsi="Times New Roman" w:cs="Times New Roman"/>
          <w:sz w:val="24"/>
          <w:szCs w:val="24"/>
          <w:lang w:val="pt-PT"/>
        </w:rPr>
        <w:t xml:space="preserve"> </w:t>
      </w:r>
      <w:r w:rsidR="00407399">
        <w:rPr>
          <w:rFonts w:ascii="Times New Roman" w:hAnsi="Times New Roman" w:cs="Times New Roman"/>
          <w:sz w:val="24"/>
          <w:szCs w:val="24"/>
          <w:lang w:val="pt-PT"/>
        </w:rPr>
        <w:t>ou ameaça de punição</w:t>
      </w:r>
      <w:r>
        <w:rPr>
          <w:rFonts w:ascii="Times New Roman" w:hAnsi="Times New Roman" w:cs="Times New Roman"/>
          <w:sz w:val="24"/>
          <w:szCs w:val="24"/>
          <w:lang w:val="pt-PT"/>
        </w:rPr>
        <w:t xml:space="preserve">. </w:t>
      </w:r>
    </w:p>
    <w:p w:rsidR="009D28A5" w:rsidRDefault="009D28A5" w:rsidP="009D28A5">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Considerando que a análise a ser desenvolvida requer a compree</w:t>
      </w:r>
      <w:r w:rsidR="008B7150">
        <w:rPr>
          <w:rFonts w:ascii="Times New Roman" w:hAnsi="Times New Roman" w:cs="Times New Roman"/>
          <w:sz w:val="24"/>
          <w:szCs w:val="24"/>
          <w:lang w:val="pt-PT"/>
        </w:rPr>
        <w:t>n</w:t>
      </w:r>
      <w:r>
        <w:rPr>
          <w:rFonts w:ascii="Times New Roman" w:hAnsi="Times New Roman" w:cs="Times New Roman"/>
          <w:sz w:val="24"/>
          <w:szCs w:val="24"/>
          <w:lang w:val="pt-PT"/>
        </w:rPr>
        <w:t>são das relações existentes entre um diversificado grupo de</w:t>
      </w:r>
      <w:r w:rsidR="00EA0236">
        <w:rPr>
          <w:rFonts w:ascii="Times New Roman" w:hAnsi="Times New Roman" w:cs="Times New Roman"/>
          <w:sz w:val="24"/>
          <w:szCs w:val="24"/>
          <w:lang w:val="pt-PT"/>
        </w:rPr>
        <w:t xml:space="preserve"> organizações e instituições, torna-se oportuno</w:t>
      </w:r>
      <w:r w:rsidR="00A022E6">
        <w:rPr>
          <w:rFonts w:ascii="Times New Roman" w:hAnsi="Times New Roman" w:cs="Times New Roman"/>
          <w:sz w:val="24"/>
          <w:szCs w:val="24"/>
          <w:lang w:val="pt-PT"/>
        </w:rPr>
        <w:t xml:space="preserve"> recorrermos</w:t>
      </w:r>
      <w:r>
        <w:rPr>
          <w:rFonts w:ascii="Times New Roman" w:hAnsi="Times New Roman" w:cs="Times New Roman"/>
          <w:sz w:val="24"/>
          <w:szCs w:val="24"/>
          <w:lang w:val="pt-PT"/>
        </w:rPr>
        <w:t xml:space="preserve"> aos conceitos e ideias desenvolvidas na área d</w:t>
      </w:r>
      <w:r w:rsidR="00E07C4C">
        <w:rPr>
          <w:rFonts w:ascii="Times New Roman" w:hAnsi="Times New Roman" w:cs="Times New Roman"/>
          <w:sz w:val="24"/>
          <w:szCs w:val="24"/>
          <w:lang w:val="pt-PT"/>
        </w:rPr>
        <w:t>a</w:t>
      </w:r>
      <w:r>
        <w:rPr>
          <w:rFonts w:ascii="Times New Roman" w:hAnsi="Times New Roman" w:cs="Times New Roman"/>
          <w:sz w:val="24"/>
          <w:szCs w:val="24"/>
          <w:lang w:val="pt-PT"/>
        </w:rPr>
        <w:t xml:space="preserve"> Economia Institucional, da qual Douglass North é um dos principais representantes. North direcionou bastante atenção ao </w:t>
      </w:r>
      <w:r>
        <w:rPr>
          <w:rFonts w:ascii="Times New Roman" w:hAnsi="Times New Roman" w:cs="Times New Roman"/>
          <w:sz w:val="24"/>
          <w:szCs w:val="24"/>
          <w:lang w:val="pt-PT"/>
        </w:rPr>
        <w:lastRenderedPageBreak/>
        <w:t>estudo da mudança institucional e de como as instituições afetam o crescimento econômico. De acordo com o autor, as instituições criam a estrutura de incentivos de uma economia, e a partir del</w:t>
      </w:r>
      <w:r w:rsidR="00F46263">
        <w:rPr>
          <w:rFonts w:ascii="Times New Roman" w:hAnsi="Times New Roman" w:cs="Times New Roman"/>
          <w:sz w:val="24"/>
          <w:szCs w:val="24"/>
          <w:lang w:val="pt-PT"/>
        </w:rPr>
        <w:t>a surgem organizações que buscam</w:t>
      </w:r>
      <w:r>
        <w:rPr>
          <w:rFonts w:ascii="Times New Roman" w:hAnsi="Times New Roman" w:cs="Times New Roman"/>
          <w:sz w:val="24"/>
          <w:szCs w:val="24"/>
          <w:lang w:val="pt-PT"/>
        </w:rPr>
        <w:t xml:space="preserve"> </w:t>
      </w:r>
      <w:r w:rsidR="00F46263">
        <w:rPr>
          <w:rFonts w:ascii="Times New Roman" w:hAnsi="Times New Roman" w:cs="Times New Roman"/>
          <w:sz w:val="24"/>
          <w:szCs w:val="24"/>
          <w:lang w:val="pt-PT"/>
        </w:rPr>
        <w:t>se beneficiar das oportunidades criadas por tal estrutura</w:t>
      </w:r>
      <w:r>
        <w:rPr>
          <w:rFonts w:ascii="Times New Roman" w:hAnsi="Times New Roman" w:cs="Times New Roman"/>
          <w:sz w:val="24"/>
          <w:szCs w:val="24"/>
          <w:lang w:val="pt-PT"/>
        </w:rPr>
        <w:t xml:space="preserve">. </w:t>
      </w:r>
    </w:p>
    <w:p w:rsidR="009D28A5" w:rsidRDefault="002D402B" w:rsidP="009D28A5">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Aqui vale a pena</w:t>
      </w:r>
      <w:r w:rsidR="009D28A5">
        <w:rPr>
          <w:rFonts w:ascii="Times New Roman" w:hAnsi="Times New Roman" w:cs="Times New Roman"/>
          <w:sz w:val="24"/>
          <w:szCs w:val="24"/>
          <w:lang w:val="pt-PT"/>
        </w:rPr>
        <w:t xml:space="preserve"> ressaltar a diferença conceitual entre organizações e instituições. </w:t>
      </w:r>
      <w:r w:rsidR="009D28A5">
        <w:rPr>
          <w:rFonts w:ascii="Times New Roman" w:hAnsi="Times New Roman" w:cs="Times New Roman"/>
          <w:bCs/>
          <w:sz w:val="24"/>
          <w:szCs w:val="24"/>
        </w:rPr>
        <w:t>North (1990</w:t>
      </w:r>
      <w:r w:rsidR="009D28A5" w:rsidRPr="009F062D">
        <w:rPr>
          <w:rFonts w:ascii="Times New Roman" w:hAnsi="Times New Roman" w:cs="Times New Roman"/>
          <w:bCs/>
          <w:sz w:val="24"/>
          <w:szCs w:val="24"/>
        </w:rPr>
        <w:t>)</w:t>
      </w:r>
      <w:r w:rsidR="009D28A5">
        <w:rPr>
          <w:rFonts w:ascii="Times New Roman" w:hAnsi="Times New Roman" w:cs="Times New Roman"/>
          <w:bCs/>
          <w:sz w:val="24"/>
          <w:szCs w:val="24"/>
        </w:rPr>
        <w:t xml:space="preserve"> define as instituições como</w:t>
      </w:r>
      <w:r w:rsidR="009D28A5" w:rsidRPr="009F062D">
        <w:rPr>
          <w:rFonts w:ascii="Times New Roman" w:hAnsi="Times New Roman" w:cs="Times New Roman"/>
          <w:bCs/>
          <w:sz w:val="24"/>
          <w:szCs w:val="24"/>
        </w:rPr>
        <w:t xml:space="preserve"> restrições planejadas por</w:t>
      </w:r>
      <w:r w:rsidR="009D28A5">
        <w:rPr>
          <w:rFonts w:ascii="Times New Roman" w:hAnsi="Times New Roman" w:cs="Times New Roman"/>
          <w:bCs/>
          <w:sz w:val="24"/>
          <w:szCs w:val="24"/>
        </w:rPr>
        <w:t xml:space="preserve"> seres humanos capazes de estruturar e guiar as interações sociais, econômicas e políticas, podendo ser de caráter formal (constituições, leis, direitos de propriedade) ou informal (valores morais, tabus, costumes, tradições, códigos de conduta, formas de agir e pensar)</w:t>
      </w:r>
      <w:r w:rsidR="009D28A5">
        <w:rPr>
          <w:rFonts w:ascii="Times New Roman" w:hAnsi="Times New Roman" w:cs="Times New Roman"/>
          <w:sz w:val="24"/>
          <w:szCs w:val="24"/>
          <w:lang w:val="pt-PT"/>
        </w:rPr>
        <w:t>. As organizações, por sua vez, são grupos de indivíduos unidos com o propósito de atingir um objetivo comum. Incluem órgãos políticos (partidos, Senado, Câmaras Municipais, agências reguladoras), econômicos (fir</w:t>
      </w:r>
      <w:r w:rsidR="006371A8">
        <w:rPr>
          <w:rFonts w:ascii="Times New Roman" w:hAnsi="Times New Roman" w:cs="Times New Roman"/>
          <w:sz w:val="24"/>
          <w:szCs w:val="24"/>
          <w:lang w:val="pt-PT"/>
        </w:rPr>
        <w:t>mas, cooperativas, sindicatos),</w:t>
      </w:r>
      <w:r w:rsidR="009D28A5">
        <w:rPr>
          <w:rFonts w:ascii="Times New Roman" w:hAnsi="Times New Roman" w:cs="Times New Roman"/>
          <w:sz w:val="24"/>
          <w:szCs w:val="24"/>
          <w:lang w:val="pt-PT"/>
        </w:rPr>
        <w:t xml:space="preserve"> sociais (igrejas, c</w:t>
      </w:r>
      <w:r w:rsidR="003569BE">
        <w:rPr>
          <w:rFonts w:ascii="Times New Roman" w:hAnsi="Times New Roman" w:cs="Times New Roman"/>
          <w:sz w:val="24"/>
          <w:szCs w:val="24"/>
          <w:lang w:val="pt-PT"/>
        </w:rPr>
        <w:t>lubes) e educacionais (escolas,</w:t>
      </w:r>
      <w:r w:rsidR="009D28A5">
        <w:rPr>
          <w:rFonts w:ascii="Times New Roman" w:hAnsi="Times New Roman" w:cs="Times New Roman"/>
          <w:sz w:val="24"/>
          <w:szCs w:val="24"/>
          <w:lang w:val="pt-PT"/>
        </w:rPr>
        <w:t xml:space="preserve"> faculdades). Para usar a analogia de North, em um jogo, as instituições são as regras, ao passo que as organizações são os jogadores. Assim, as políticas públicas, por envolverem um conjunto de leis, normas e </w:t>
      </w:r>
      <w:r w:rsidR="009D28A5" w:rsidRPr="009D28A5">
        <w:rPr>
          <w:rFonts w:ascii="Times New Roman" w:hAnsi="Times New Roman" w:cs="Times New Roman"/>
          <w:sz w:val="24"/>
          <w:szCs w:val="24"/>
          <w:lang w:val="pt-PT"/>
        </w:rPr>
        <w:t>procedimentos, são instituições que surgem a partir da interação de organizações,</w:t>
      </w:r>
      <w:r w:rsidR="009D28A5">
        <w:rPr>
          <w:rFonts w:ascii="Times New Roman" w:hAnsi="Times New Roman" w:cs="Times New Roman"/>
          <w:sz w:val="24"/>
          <w:szCs w:val="24"/>
          <w:lang w:val="pt-PT"/>
        </w:rPr>
        <w:t xml:space="preserve"> como o Congresso Nacional, os conselhos interministeriais, os partidos políticos, as associações de empresários, de trabalhadores, d</w:t>
      </w:r>
      <w:r w:rsidR="00616DAB">
        <w:rPr>
          <w:rFonts w:ascii="Times New Roman" w:hAnsi="Times New Roman" w:cs="Times New Roman"/>
          <w:sz w:val="24"/>
          <w:szCs w:val="24"/>
          <w:lang w:val="pt-PT"/>
        </w:rPr>
        <w:t>e proteção do meio ambiente, entre outros</w:t>
      </w:r>
      <w:r w:rsidR="009D28A5">
        <w:rPr>
          <w:rFonts w:ascii="Times New Roman" w:hAnsi="Times New Roman" w:cs="Times New Roman"/>
          <w:sz w:val="24"/>
          <w:szCs w:val="24"/>
          <w:lang w:val="pt-PT"/>
        </w:rPr>
        <w:t>.</w:t>
      </w:r>
    </w:p>
    <w:p w:rsidR="009D28A5" w:rsidRPr="00A90B61" w:rsidRDefault="009D28A5" w:rsidP="009D28A5">
      <w:pPr>
        <w:spacing w:line="360" w:lineRule="auto"/>
        <w:ind w:firstLine="708"/>
        <w:rPr>
          <w:rFonts w:ascii="Times New Roman" w:hAnsi="Times New Roman" w:cs="Times New Roman"/>
          <w:sz w:val="24"/>
          <w:szCs w:val="24"/>
        </w:rPr>
      </w:pPr>
      <w:r w:rsidRPr="00A90B61">
        <w:rPr>
          <w:rFonts w:ascii="Times New Roman" w:hAnsi="Times New Roman" w:cs="Times New Roman"/>
          <w:sz w:val="24"/>
          <w:szCs w:val="24"/>
        </w:rPr>
        <w:t xml:space="preserve">Para Douglass North, o papel do Estado </w:t>
      </w:r>
      <w:r>
        <w:rPr>
          <w:rFonts w:ascii="Times New Roman" w:hAnsi="Times New Roman" w:cs="Times New Roman"/>
          <w:sz w:val="24"/>
          <w:szCs w:val="24"/>
        </w:rPr>
        <w:t>se mostra essencial na</w:t>
      </w:r>
      <w:r w:rsidRPr="00A90B61">
        <w:rPr>
          <w:rFonts w:ascii="Times New Roman" w:hAnsi="Times New Roman" w:cs="Times New Roman"/>
          <w:sz w:val="24"/>
          <w:szCs w:val="24"/>
        </w:rPr>
        <w:t xml:space="preserve"> provisão de instituições que incentivem o crescimento econô</w:t>
      </w:r>
      <w:r w:rsidR="002D402B">
        <w:rPr>
          <w:rFonts w:ascii="Times New Roman" w:hAnsi="Times New Roman" w:cs="Times New Roman"/>
          <w:sz w:val="24"/>
          <w:szCs w:val="24"/>
        </w:rPr>
        <w:t>mico, ou mais precisamente, no</w:t>
      </w:r>
      <w:r w:rsidRPr="00A90B61">
        <w:rPr>
          <w:rFonts w:ascii="Times New Roman" w:hAnsi="Times New Roman" w:cs="Times New Roman"/>
          <w:sz w:val="24"/>
          <w:szCs w:val="24"/>
        </w:rPr>
        <w:t xml:space="preserve"> estabelecimento de um ambiente institucional no qual os direitos de propriedade são definidos e garantidos. Assim, o Estado deve se preocupar com o conjunto de regras fundamentais, de caráter legal, político e social, capazes de governar as transações na sociedade como um todo e servir de base para que os agentes desenvolvam estruturas de governança específicas a essas transações. </w:t>
      </w:r>
    </w:p>
    <w:p w:rsidR="009D28A5" w:rsidRDefault="009D28A5" w:rsidP="009D28A5">
      <w:pPr>
        <w:spacing w:line="360" w:lineRule="auto"/>
        <w:ind w:firstLine="708"/>
        <w:rPr>
          <w:rFonts w:ascii="Times New Roman" w:hAnsi="Times New Roman" w:cs="Times New Roman"/>
          <w:sz w:val="24"/>
          <w:szCs w:val="24"/>
        </w:rPr>
      </w:pPr>
      <w:r w:rsidRPr="00A90B61">
        <w:rPr>
          <w:rFonts w:ascii="Times New Roman" w:hAnsi="Times New Roman" w:cs="Times New Roman"/>
          <w:sz w:val="24"/>
          <w:szCs w:val="24"/>
        </w:rPr>
        <w:t>Essa visão de que o Estado deve atuar sobre o ambiente institucional deriva da ideia de que os custos de transação em uma economia estão associados à má especificação dos direitos de propriedade, fazendo surgir a questão de como definir corretamente e garantir os direitos de propriedade. Sua abordagem se aproxima muito da te</w:t>
      </w:r>
      <w:r w:rsidR="006371A8">
        <w:rPr>
          <w:rFonts w:ascii="Times New Roman" w:hAnsi="Times New Roman" w:cs="Times New Roman"/>
          <w:sz w:val="24"/>
          <w:szCs w:val="24"/>
        </w:rPr>
        <w:t>oria econômica neoclássica cuja</w:t>
      </w:r>
      <w:r w:rsidRPr="00A90B61">
        <w:rPr>
          <w:rFonts w:ascii="Times New Roman" w:hAnsi="Times New Roman" w:cs="Times New Roman"/>
          <w:sz w:val="24"/>
          <w:szCs w:val="24"/>
        </w:rPr>
        <w:t xml:space="preserve"> ideia subjacente</w:t>
      </w:r>
      <w:r w:rsidR="006371A8">
        <w:rPr>
          <w:rFonts w:ascii="Times New Roman" w:hAnsi="Times New Roman" w:cs="Times New Roman"/>
          <w:sz w:val="24"/>
          <w:szCs w:val="24"/>
        </w:rPr>
        <w:t xml:space="preserve"> é</w:t>
      </w:r>
      <w:r w:rsidRPr="00A90B61">
        <w:rPr>
          <w:rFonts w:ascii="Times New Roman" w:hAnsi="Times New Roman" w:cs="Times New Roman"/>
          <w:sz w:val="24"/>
          <w:szCs w:val="24"/>
        </w:rPr>
        <w:t xml:space="preserve"> de que, dados os incentivos adequados, os mercados resolvem os problemas de coordenação</w:t>
      </w:r>
      <w:r w:rsidR="000B7678">
        <w:rPr>
          <w:rFonts w:ascii="Times New Roman" w:hAnsi="Times New Roman" w:cs="Times New Roman"/>
          <w:sz w:val="24"/>
          <w:szCs w:val="24"/>
        </w:rPr>
        <w:t xml:space="preserve"> (FIANI, 2011</w:t>
      </w:r>
      <w:r>
        <w:rPr>
          <w:rFonts w:ascii="Times New Roman" w:hAnsi="Times New Roman" w:cs="Times New Roman"/>
          <w:sz w:val="24"/>
          <w:szCs w:val="24"/>
        </w:rPr>
        <w:t>)</w:t>
      </w:r>
      <w:r w:rsidRPr="00A90B61">
        <w:rPr>
          <w:rFonts w:ascii="Times New Roman" w:hAnsi="Times New Roman" w:cs="Times New Roman"/>
          <w:sz w:val="24"/>
          <w:szCs w:val="24"/>
        </w:rPr>
        <w:t>.</w:t>
      </w:r>
      <w:r>
        <w:rPr>
          <w:rFonts w:ascii="Times New Roman" w:hAnsi="Times New Roman" w:cs="Times New Roman"/>
          <w:sz w:val="24"/>
          <w:szCs w:val="24"/>
        </w:rPr>
        <w:t xml:space="preserve"> </w:t>
      </w:r>
    </w:p>
    <w:p w:rsidR="009D28A5" w:rsidRDefault="009D28A5" w:rsidP="009D28A5">
      <w:pPr>
        <w:spacing w:line="360" w:lineRule="auto"/>
        <w:ind w:firstLine="708"/>
        <w:rPr>
          <w:rFonts w:ascii="Times New Roman" w:hAnsi="Times New Roman" w:cs="Times New Roman"/>
          <w:sz w:val="24"/>
          <w:szCs w:val="24"/>
        </w:rPr>
      </w:pPr>
      <w:r>
        <w:rPr>
          <w:rFonts w:ascii="Times New Roman" w:hAnsi="Times New Roman" w:cs="Times New Roman"/>
          <w:sz w:val="24"/>
          <w:szCs w:val="24"/>
          <w:lang w:val="pt-PT"/>
        </w:rPr>
        <w:t>Entretanto, a conclusão mais relevante que se pode tirar de North (1990) talvez seja que o</w:t>
      </w:r>
      <w:r w:rsidR="006371A8">
        <w:rPr>
          <w:rFonts w:ascii="Times New Roman" w:hAnsi="Times New Roman" w:cs="Times New Roman"/>
          <w:sz w:val="24"/>
          <w:szCs w:val="24"/>
          <w:lang w:val="pt-PT"/>
        </w:rPr>
        <w:t>s</w:t>
      </w:r>
      <w:r>
        <w:rPr>
          <w:rFonts w:ascii="Times New Roman" w:hAnsi="Times New Roman" w:cs="Times New Roman"/>
          <w:sz w:val="24"/>
          <w:szCs w:val="24"/>
          <w:lang w:val="pt-PT"/>
        </w:rPr>
        <w:t xml:space="preserve"> tipo</w:t>
      </w:r>
      <w:r w:rsidR="006371A8">
        <w:rPr>
          <w:rFonts w:ascii="Times New Roman" w:hAnsi="Times New Roman" w:cs="Times New Roman"/>
          <w:sz w:val="24"/>
          <w:szCs w:val="24"/>
          <w:lang w:val="pt-PT"/>
        </w:rPr>
        <w:t>s</w:t>
      </w:r>
      <w:r>
        <w:rPr>
          <w:rFonts w:ascii="Times New Roman" w:hAnsi="Times New Roman" w:cs="Times New Roman"/>
          <w:sz w:val="24"/>
          <w:szCs w:val="24"/>
          <w:lang w:val="pt-PT"/>
        </w:rPr>
        <w:t xml:space="preserve"> de conhecimento e habilidades incentivados pela estrutura de uma economia definem a direção da mudança econômica e gradualmente alteram o ambiente institucional.</w:t>
      </w:r>
    </w:p>
    <w:p w:rsidR="009D28A5" w:rsidRPr="00A90B61" w:rsidRDefault="009D28A5" w:rsidP="009D28A5">
      <w:pPr>
        <w:spacing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Alternativamente ao</w:t>
      </w:r>
      <w:r w:rsidRPr="00A90B61">
        <w:rPr>
          <w:rFonts w:ascii="Times New Roman" w:hAnsi="Times New Roman" w:cs="Times New Roman"/>
          <w:sz w:val="24"/>
          <w:szCs w:val="24"/>
        </w:rPr>
        <w:t xml:space="preserve"> raciocínio</w:t>
      </w:r>
      <w:r>
        <w:rPr>
          <w:rFonts w:ascii="Times New Roman" w:hAnsi="Times New Roman" w:cs="Times New Roman"/>
          <w:sz w:val="24"/>
          <w:szCs w:val="24"/>
        </w:rPr>
        <w:t xml:space="preserve"> de North</w:t>
      </w:r>
      <w:r w:rsidRPr="00A90B61">
        <w:rPr>
          <w:rFonts w:ascii="Times New Roman" w:hAnsi="Times New Roman" w:cs="Times New Roman"/>
          <w:sz w:val="24"/>
          <w:szCs w:val="24"/>
        </w:rPr>
        <w:t>, os argumentos propostos por Peter Evans e Ha-Joon Chang baseiam-se na ideia de que</w:t>
      </w:r>
      <w:r w:rsidR="002D402B">
        <w:rPr>
          <w:rFonts w:ascii="Times New Roman" w:hAnsi="Times New Roman" w:cs="Times New Roman"/>
          <w:sz w:val="24"/>
          <w:szCs w:val="24"/>
        </w:rPr>
        <w:t>, nas economias modernas,</w:t>
      </w:r>
      <w:r w:rsidRPr="00A90B61">
        <w:rPr>
          <w:rFonts w:ascii="Times New Roman" w:hAnsi="Times New Roman" w:cs="Times New Roman"/>
          <w:sz w:val="24"/>
          <w:szCs w:val="24"/>
        </w:rPr>
        <w:t xml:space="preserve"> os custos de transação resultam da divisão do trabalho, onde os agentes se especializam em tarefas específicas, fazendo aumentar o número de transações para satisfazer suas ne</w:t>
      </w:r>
      <w:r w:rsidR="003569BE">
        <w:rPr>
          <w:rFonts w:ascii="Times New Roman" w:hAnsi="Times New Roman" w:cs="Times New Roman"/>
          <w:sz w:val="24"/>
          <w:szCs w:val="24"/>
        </w:rPr>
        <w:t>cessidades. A promoção do</w:t>
      </w:r>
      <w:r w:rsidRPr="00A90B61">
        <w:rPr>
          <w:rFonts w:ascii="Times New Roman" w:hAnsi="Times New Roman" w:cs="Times New Roman"/>
          <w:sz w:val="24"/>
          <w:szCs w:val="24"/>
        </w:rPr>
        <w:t xml:space="preserve"> desenvolvimento requer a atuação do Estado não sobre a definição dos direitos de propriedade e garantia das li</w:t>
      </w:r>
      <w:r>
        <w:rPr>
          <w:rFonts w:ascii="Times New Roman" w:hAnsi="Times New Roman" w:cs="Times New Roman"/>
          <w:sz w:val="24"/>
          <w:szCs w:val="24"/>
        </w:rPr>
        <w:t>berdades individuais, mas sim sobre o</w:t>
      </w:r>
      <w:r w:rsidRPr="00A90B61">
        <w:rPr>
          <w:rFonts w:ascii="Times New Roman" w:hAnsi="Times New Roman" w:cs="Times New Roman"/>
          <w:sz w:val="24"/>
          <w:szCs w:val="24"/>
        </w:rPr>
        <w:t xml:space="preserve"> estabelecimento de arranjos institucionais capazes de re</w:t>
      </w:r>
      <w:r>
        <w:rPr>
          <w:rFonts w:ascii="Times New Roman" w:hAnsi="Times New Roman" w:cs="Times New Roman"/>
          <w:sz w:val="24"/>
          <w:szCs w:val="24"/>
        </w:rPr>
        <w:t>duzir os conflitos inerentes ao</w:t>
      </w:r>
      <w:r w:rsidRPr="00A90B61">
        <w:rPr>
          <w:rFonts w:ascii="Times New Roman" w:hAnsi="Times New Roman" w:cs="Times New Roman"/>
          <w:sz w:val="24"/>
          <w:szCs w:val="24"/>
        </w:rPr>
        <w:t xml:space="preserve"> processo de desenvolvimento e promover a cooperação. Para esses autores, os mercados por si só não necessariamente geram as estruturas de governança propulsoras do crescimento econômico.</w:t>
      </w:r>
    </w:p>
    <w:p w:rsidR="009D28A5" w:rsidRPr="00A90B61" w:rsidRDefault="00BE1D1F" w:rsidP="009D28A5">
      <w:pPr>
        <w:spacing w:line="360" w:lineRule="auto"/>
        <w:ind w:firstLine="708"/>
        <w:rPr>
          <w:rFonts w:ascii="Times New Roman" w:hAnsi="Times New Roman" w:cs="Times New Roman"/>
          <w:sz w:val="24"/>
          <w:szCs w:val="24"/>
        </w:rPr>
      </w:pPr>
      <w:r>
        <w:rPr>
          <w:rFonts w:ascii="Times New Roman" w:hAnsi="Times New Roman" w:cs="Times New Roman"/>
          <w:sz w:val="24"/>
          <w:szCs w:val="24"/>
        </w:rPr>
        <w:t>N</w:t>
      </w:r>
      <w:r w:rsidR="003569BE">
        <w:rPr>
          <w:rFonts w:ascii="Times New Roman" w:hAnsi="Times New Roman" w:cs="Times New Roman"/>
          <w:sz w:val="24"/>
          <w:szCs w:val="24"/>
        </w:rPr>
        <w:t>a análise de Peter Evans</w:t>
      </w:r>
      <w:r>
        <w:rPr>
          <w:rFonts w:ascii="Times New Roman" w:hAnsi="Times New Roman" w:cs="Times New Roman"/>
          <w:sz w:val="24"/>
          <w:szCs w:val="24"/>
        </w:rPr>
        <w:t xml:space="preserve"> (2004)</w:t>
      </w:r>
      <w:r w:rsidR="003569BE">
        <w:rPr>
          <w:rFonts w:ascii="Times New Roman" w:hAnsi="Times New Roman" w:cs="Times New Roman"/>
          <w:sz w:val="24"/>
          <w:szCs w:val="24"/>
        </w:rPr>
        <w:t xml:space="preserve">, nota-se que </w:t>
      </w:r>
      <w:r w:rsidR="002D402B">
        <w:rPr>
          <w:rFonts w:ascii="Times New Roman" w:hAnsi="Times New Roman" w:cs="Times New Roman"/>
          <w:sz w:val="24"/>
          <w:szCs w:val="24"/>
        </w:rPr>
        <w:t xml:space="preserve">durante </w:t>
      </w:r>
      <w:r w:rsidR="003569BE">
        <w:rPr>
          <w:rFonts w:ascii="Times New Roman" w:hAnsi="Times New Roman" w:cs="Times New Roman"/>
          <w:sz w:val="24"/>
          <w:szCs w:val="24"/>
        </w:rPr>
        <w:t>o</w:t>
      </w:r>
      <w:r w:rsidR="009D28A5" w:rsidRPr="00A90B61">
        <w:rPr>
          <w:rFonts w:ascii="Times New Roman" w:hAnsi="Times New Roman" w:cs="Times New Roman"/>
          <w:sz w:val="24"/>
          <w:szCs w:val="24"/>
        </w:rPr>
        <w:t xml:space="preserve"> processo de transformação econômica, necessariamente há grupos que se beneficiam. A constituição de uma </w:t>
      </w:r>
      <w:r w:rsidR="002D402B" w:rsidRPr="00A90B61">
        <w:rPr>
          <w:rFonts w:ascii="Times New Roman" w:hAnsi="Times New Roman" w:cs="Times New Roman"/>
          <w:sz w:val="24"/>
          <w:szCs w:val="24"/>
        </w:rPr>
        <w:t>infra</w:t>
      </w:r>
      <w:r w:rsidR="002D402B">
        <w:rPr>
          <w:rFonts w:ascii="Times New Roman" w:hAnsi="Times New Roman" w:cs="Times New Roman"/>
          <w:sz w:val="24"/>
          <w:szCs w:val="24"/>
        </w:rPr>
        <w:t>estrutura</w:t>
      </w:r>
      <w:r w:rsidR="009D28A5" w:rsidRPr="00A90B61">
        <w:rPr>
          <w:rFonts w:ascii="Times New Roman" w:hAnsi="Times New Roman" w:cs="Times New Roman"/>
          <w:sz w:val="24"/>
          <w:szCs w:val="24"/>
        </w:rPr>
        <w:t xml:space="preserve"> de serviços básicos, como transporte e saneamento, inevitavelmente faz com que certos setores, </w:t>
      </w:r>
      <w:r w:rsidR="009D28A5">
        <w:rPr>
          <w:rFonts w:ascii="Times New Roman" w:hAnsi="Times New Roman" w:cs="Times New Roman"/>
          <w:sz w:val="24"/>
          <w:szCs w:val="24"/>
        </w:rPr>
        <w:t xml:space="preserve">como </w:t>
      </w:r>
      <w:r w:rsidR="009D28A5" w:rsidRPr="00A90B61">
        <w:rPr>
          <w:rFonts w:ascii="Times New Roman" w:hAnsi="Times New Roman" w:cs="Times New Roman"/>
          <w:sz w:val="24"/>
          <w:szCs w:val="24"/>
        </w:rPr>
        <w:t>a indústria de metalurgia ou de cimento</w:t>
      </w:r>
      <w:r w:rsidR="009D28A5">
        <w:rPr>
          <w:rFonts w:ascii="Times New Roman" w:hAnsi="Times New Roman" w:cs="Times New Roman"/>
          <w:sz w:val="24"/>
          <w:szCs w:val="24"/>
        </w:rPr>
        <w:t>, obtenham</w:t>
      </w:r>
      <w:r w:rsidR="009D28A5" w:rsidRPr="00A90B61">
        <w:rPr>
          <w:rFonts w:ascii="Times New Roman" w:hAnsi="Times New Roman" w:cs="Times New Roman"/>
          <w:sz w:val="24"/>
          <w:szCs w:val="24"/>
        </w:rPr>
        <w:t xml:space="preserve"> ganhos. Essa situação, no entanto, é bastante distinta da descrita pelos teóricos do </w:t>
      </w:r>
      <w:r w:rsidR="009D28A5" w:rsidRPr="00A90B61">
        <w:rPr>
          <w:rFonts w:ascii="Times New Roman" w:hAnsi="Times New Roman" w:cs="Times New Roman"/>
          <w:i/>
          <w:sz w:val="24"/>
          <w:szCs w:val="24"/>
        </w:rPr>
        <w:t>rent seeking</w:t>
      </w:r>
      <w:r w:rsidR="009D28A5" w:rsidRPr="00A90B61">
        <w:rPr>
          <w:rFonts w:ascii="Times New Roman" w:hAnsi="Times New Roman" w:cs="Times New Roman"/>
          <w:sz w:val="24"/>
          <w:szCs w:val="24"/>
        </w:rPr>
        <w:t>, em que o Estado é visto apenas como um espaço de disputa</w:t>
      </w:r>
      <w:r w:rsidR="00BC6A08">
        <w:rPr>
          <w:rFonts w:ascii="Times New Roman" w:hAnsi="Times New Roman" w:cs="Times New Roman"/>
          <w:sz w:val="24"/>
          <w:szCs w:val="24"/>
        </w:rPr>
        <w:t xml:space="preserve"> por benefícios pessoais</w:t>
      </w:r>
      <w:r w:rsidR="002D402B">
        <w:rPr>
          <w:rStyle w:val="Refdenotaderodap"/>
          <w:rFonts w:ascii="Times New Roman" w:hAnsi="Times New Roman" w:cs="Times New Roman"/>
          <w:sz w:val="24"/>
          <w:szCs w:val="24"/>
        </w:rPr>
        <w:footnoteReference w:id="3"/>
      </w:r>
      <w:r w:rsidR="00BC6A08">
        <w:rPr>
          <w:rFonts w:ascii="Times New Roman" w:hAnsi="Times New Roman" w:cs="Times New Roman"/>
          <w:sz w:val="24"/>
          <w:szCs w:val="24"/>
        </w:rPr>
        <w:t xml:space="preserve">. </w:t>
      </w:r>
      <w:r w:rsidR="009D28A5" w:rsidRPr="00A90B61">
        <w:rPr>
          <w:rFonts w:ascii="Times New Roman" w:hAnsi="Times New Roman" w:cs="Times New Roman"/>
          <w:sz w:val="24"/>
          <w:szCs w:val="24"/>
        </w:rPr>
        <w:t>Ev</w:t>
      </w:r>
      <w:r w:rsidR="009D28A5">
        <w:rPr>
          <w:rFonts w:ascii="Times New Roman" w:hAnsi="Times New Roman" w:cs="Times New Roman"/>
          <w:sz w:val="24"/>
          <w:szCs w:val="24"/>
        </w:rPr>
        <w:t>ans não nega que o Estado</w:t>
      </w:r>
      <w:r w:rsidR="009D28A5" w:rsidRPr="00A90B61">
        <w:rPr>
          <w:rFonts w:ascii="Times New Roman" w:hAnsi="Times New Roman" w:cs="Times New Roman"/>
          <w:sz w:val="24"/>
          <w:szCs w:val="24"/>
        </w:rPr>
        <w:t xml:space="preserve"> seja </w:t>
      </w:r>
      <w:r w:rsidR="009D28A5">
        <w:rPr>
          <w:rFonts w:ascii="Times New Roman" w:hAnsi="Times New Roman" w:cs="Times New Roman"/>
          <w:sz w:val="24"/>
          <w:szCs w:val="24"/>
        </w:rPr>
        <w:t xml:space="preserve">também </w:t>
      </w:r>
      <w:r w:rsidR="009D28A5" w:rsidRPr="00A90B61">
        <w:rPr>
          <w:rFonts w:ascii="Times New Roman" w:hAnsi="Times New Roman" w:cs="Times New Roman"/>
          <w:sz w:val="24"/>
          <w:szCs w:val="24"/>
        </w:rPr>
        <w:t>um instrumento de dominação política, afinal há uma dimensão de busca de renda, mas</w:t>
      </w:r>
      <w:r w:rsidR="009D28A5">
        <w:rPr>
          <w:rFonts w:ascii="Times New Roman" w:hAnsi="Times New Roman" w:cs="Times New Roman"/>
          <w:sz w:val="24"/>
          <w:szCs w:val="24"/>
        </w:rPr>
        <w:t xml:space="preserve"> </w:t>
      </w:r>
      <w:r w:rsidR="00694F6D">
        <w:rPr>
          <w:rFonts w:ascii="Times New Roman" w:hAnsi="Times New Roman" w:cs="Times New Roman"/>
          <w:sz w:val="24"/>
          <w:szCs w:val="24"/>
        </w:rPr>
        <w:t>ele não pode ser reduzido a isso</w:t>
      </w:r>
      <w:r w:rsidR="006371A8">
        <w:rPr>
          <w:rFonts w:ascii="Times New Roman" w:hAnsi="Times New Roman" w:cs="Times New Roman"/>
          <w:sz w:val="24"/>
          <w:szCs w:val="24"/>
        </w:rPr>
        <w:t xml:space="preserve"> somente</w:t>
      </w:r>
      <w:r w:rsidR="009D28A5" w:rsidRPr="00A90B61">
        <w:rPr>
          <w:rFonts w:ascii="Times New Roman" w:hAnsi="Times New Roman" w:cs="Times New Roman"/>
          <w:sz w:val="24"/>
          <w:szCs w:val="24"/>
        </w:rPr>
        <w:t>.</w:t>
      </w:r>
    </w:p>
    <w:p w:rsidR="009D28A5" w:rsidRPr="00A90B61" w:rsidRDefault="00BC6A08" w:rsidP="009D28A5">
      <w:pPr>
        <w:spacing w:line="360" w:lineRule="auto"/>
        <w:ind w:firstLine="708"/>
        <w:rPr>
          <w:rFonts w:ascii="Times New Roman" w:hAnsi="Times New Roman" w:cs="Times New Roman"/>
          <w:sz w:val="24"/>
          <w:szCs w:val="24"/>
        </w:rPr>
      </w:pPr>
      <w:r>
        <w:rPr>
          <w:rFonts w:ascii="Times New Roman" w:hAnsi="Times New Roman" w:cs="Times New Roman"/>
          <w:sz w:val="24"/>
          <w:szCs w:val="24"/>
        </w:rPr>
        <w:t>O autor se mostra</w:t>
      </w:r>
      <w:r w:rsidR="009D28A5" w:rsidRPr="00A90B61">
        <w:rPr>
          <w:rFonts w:ascii="Times New Roman" w:hAnsi="Times New Roman" w:cs="Times New Roman"/>
          <w:sz w:val="24"/>
          <w:szCs w:val="24"/>
        </w:rPr>
        <w:t xml:space="preserve"> ciente da existência de elites agrárias e industriais que buscam deter poder de mercado, e</w:t>
      </w:r>
      <w:r w:rsidR="00752F12">
        <w:rPr>
          <w:rFonts w:ascii="Times New Roman" w:hAnsi="Times New Roman" w:cs="Times New Roman"/>
          <w:sz w:val="24"/>
          <w:szCs w:val="24"/>
        </w:rPr>
        <w:t>m muitos casos fazendo</w:t>
      </w:r>
      <w:r w:rsidR="009D28A5" w:rsidRPr="00A90B61">
        <w:rPr>
          <w:rFonts w:ascii="Times New Roman" w:hAnsi="Times New Roman" w:cs="Times New Roman"/>
          <w:sz w:val="24"/>
          <w:szCs w:val="24"/>
        </w:rPr>
        <w:t xml:space="preserve"> alianças internacionais, e cujos interesses não necessariamente são o</w:t>
      </w:r>
      <w:r w:rsidR="00B536D6">
        <w:rPr>
          <w:rFonts w:ascii="Times New Roman" w:hAnsi="Times New Roman" w:cs="Times New Roman"/>
          <w:sz w:val="24"/>
          <w:szCs w:val="24"/>
        </w:rPr>
        <w:t>s</w:t>
      </w:r>
      <w:r w:rsidR="009D28A5" w:rsidRPr="00A90B61">
        <w:rPr>
          <w:rFonts w:ascii="Times New Roman" w:hAnsi="Times New Roman" w:cs="Times New Roman"/>
          <w:sz w:val="24"/>
          <w:szCs w:val="24"/>
        </w:rPr>
        <w:t xml:space="preserve"> de promover o desenvolvimento. Por esse motivo, é enfatizada a necessidade de haver uma estrutura burocrática em que os funcionários são contratados por sua competência técnica e seguem carreiras que oferecem retornos de longo prazo. Autônomo, o Estado se encontra menos suscetível a agir em prol dos interesses das elites empresariais e agrárias e tem mais condições de d</w:t>
      </w:r>
      <w:r w:rsidR="005C370E">
        <w:rPr>
          <w:rFonts w:ascii="Times New Roman" w:hAnsi="Times New Roman" w:cs="Times New Roman"/>
          <w:sz w:val="24"/>
          <w:szCs w:val="24"/>
        </w:rPr>
        <w:t xml:space="preserve">efender o interesse comum. Ele </w:t>
      </w:r>
      <w:r w:rsidR="009D28A5" w:rsidRPr="00A90B61">
        <w:rPr>
          <w:rFonts w:ascii="Times New Roman" w:hAnsi="Times New Roman" w:cs="Times New Roman"/>
          <w:sz w:val="24"/>
          <w:szCs w:val="24"/>
        </w:rPr>
        <w:t>subordina o comportamento dos funcionári</w:t>
      </w:r>
      <w:r w:rsidR="005C370E">
        <w:rPr>
          <w:rFonts w:ascii="Times New Roman" w:hAnsi="Times New Roman" w:cs="Times New Roman"/>
          <w:sz w:val="24"/>
          <w:szCs w:val="24"/>
        </w:rPr>
        <w:t>os aos seus objetivos coletivos</w:t>
      </w:r>
      <w:r w:rsidR="009D28A5" w:rsidRPr="00A90B61">
        <w:rPr>
          <w:rFonts w:ascii="Times New Roman" w:hAnsi="Times New Roman" w:cs="Times New Roman"/>
          <w:sz w:val="24"/>
          <w:szCs w:val="24"/>
        </w:rPr>
        <w:t>, agindo com independência em relação aos interesses particulares de determinados grupos da sociedade.</w:t>
      </w:r>
    </w:p>
    <w:p w:rsidR="009D28A5" w:rsidRPr="00A90B61" w:rsidRDefault="00D62292" w:rsidP="009D28A5">
      <w:pPr>
        <w:spacing w:line="360" w:lineRule="auto"/>
        <w:ind w:firstLine="708"/>
        <w:rPr>
          <w:rFonts w:ascii="Times New Roman" w:hAnsi="Times New Roman" w:cs="Times New Roman"/>
          <w:sz w:val="24"/>
          <w:szCs w:val="24"/>
        </w:rPr>
      </w:pPr>
      <w:r>
        <w:rPr>
          <w:rFonts w:ascii="Times New Roman" w:hAnsi="Times New Roman" w:cs="Times New Roman"/>
          <w:sz w:val="24"/>
          <w:szCs w:val="24"/>
        </w:rPr>
        <w:t>Evans ressalta a importância da autonomia do</w:t>
      </w:r>
      <w:r w:rsidR="009D28A5" w:rsidRPr="00A90B61">
        <w:rPr>
          <w:rFonts w:ascii="Times New Roman" w:hAnsi="Times New Roman" w:cs="Times New Roman"/>
          <w:sz w:val="24"/>
          <w:szCs w:val="24"/>
        </w:rPr>
        <w:t xml:space="preserve"> Estado</w:t>
      </w:r>
      <w:r>
        <w:rPr>
          <w:rFonts w:ascii="Times New Roman" w:hAnsi="Times New Roman" w:cs="Times New Roman"/>
          <w:sz w:val="24"/>
          <w:szCs w:val="24"/>
        </w:rPr>
        <w:t xml:space="preserve"> e das relações</w:t>
      </w:r>
      <w:r w:rsidRPr="00A90B61">
        <w:rPr>
          <w:rFonts w:ascii="Times New Roman" w:hAnsi="Times New Roman" w:cs="Times New Roman"/>
          <w:sz w:val="24"/>
          <w:szCs w:val="24"/>
        </w:rPr>
        <w:t xml:space="preserve"> </w:t>
      </w:r>
      <w:r w:rsidR="002F5DB3">
        <w:rPr>
          <w:rFonts w:ascii="Times New Roman" w:hAnsi="Times New Roman" w:cs="Times New Roman"/>
          <w:sz w:val="24"/>
          <w:szCs w:val="24"/>
        </w:rPr>
        <w:t xml:space="preserve">de parceria </w:t>
      </w:r>
      <w:r>
        <w:rPr>
          <w:rFonts w:ascii="Times New Roman" w:hAnsi="Times New Roman" w:cs="Times New Roman"/>
          <w:sz w:val="24"/>
          <w:szCs w:val="24"/>
        </w:rPr>
        <w:t xml:space="preserve">que este mantém </w:t>
      </w:r>
      <w:r w:rsidRPr="00A90B61">
        <w:rPr>
          <w:rFonts w:ascii="Times New Roman" w:hAnsi="Times New Roman" w:cs="Times New Roman"/>
          <w:sz w:val="24"/>
          <w:szCs w:val="24"/>
        </w:rPr>
        <w:t>com a soci</w:t>
      </w:r>
      <w:r>
        <w:rPr>
          <w:rFonts w:ascii="Times New Roman" w:hAnsi="Times New Roman" w:cs="Times New Roman"/>
          <w:sz w:val="24"/>
          <w:szCs w:val="24"/>
        </w:rPr>
        <w:t>edade civil,</w:t>
      </w:r>
      <w:r w:rsidRPr="00A90B61">
        <w:rPr>
          <w:rFonts w:ascii="Times New Roman" w:hAnsi="Times New Roman" w:cs="Times New Roman"/>
          <w:sz w:val="24"/>
          <w:szCs w:val="24"/>
        </w:rPr>
        <w:t xml:space="preserve"> especialmente aquelas baseadas em redes informais, intern</w:t>
      </w:r>
      <w:r>
        <w:rPr>
          <w:rFonts w:ascii="Times New Roman" w:hAnsi="Times New Roman" w:cs="Times New Roman"/>
          <w:sz w:val="24"/>
          <w:szCs w:val="24"/>
        </w:rPr>
        <w:t>as e externas ao Estado, provendo</w:t>
      </w:r>
      <w:r w:rsidRPr="00A90B61">
        <w:rPr>
          <w:rFonts w:ascii="Times New Roman" w:hAnsi="Times New Roman" w:cs="Times New Roman"/>
          <w:sz w:val="24"/>
          <w:szCs w:val="24"/>
        </w:rPr>
        <w:t xml:space="preserve"> c</w:t>
      </w:r>
      <w:r w:rsidR="003721D7">
        <w:rPr>
          <w:rFonts w:ascii="Times New Roman" w:hAnsi="Times New Roman" w:cs="Times New Roman"/>
          <w:sz w:val="24"/>
          <w:szCs w:val="24"/>
        </w:rPr>
        <w:t xml:space="preserve">oerência a suas ações e </w:t>
      </w:r>
      <w:r>
        <w:rPr>
          <w:rFonts w:ascii="Times New Roman" w:hAnsi="Times New Roman" w:cs="Times New Roman"/>
          <w:sz w:val="24"/>
          <w:szCs w:val="24"/>
        </w:rPr>
        <w:t>impedindo</w:t>
      </w:r>
      <w:r w:rsidR="003721D7">
        <w:rPr>
          <w:rFonts w:ascii="Times New Roman" w:hAnsi="Times New Roman" w:cs="Times New Roman"/>
          <w:sz w:val="24"/>
          <w:szCs w:val="24"/>
        </w:rPr>
        <w:t>-o</w:t>
      </w:r>
      <w:r w:rsidRPr="00A90B61">
        <w:rPr>
          <w:rFonts w:ascii="Times New Roman" w:hAnsi="Times New Roman" w:cs="Times New Roman"/>
          <w:sz w:val="24"/>
          <w:szCs w:val="24"/>
        </w:rPr>
        <w:t xml:space="preserve"> de se isolar da sociedade</w:t>
      </w:r>
      <w:r w:rsidR="009D28A5" w:rsidRPr="00A90B61">
        <w:rPr>
          <w:rFonts w:ascii="Times New Roman" w:hAnsi="Times New Roman" w:cs="Times New Roman"/>
          <w:sz w:val="24"/>
          <w:szCs w:val="24"/>
        </w:rPr>
        <w:t>. O termo “autonomia inserida” (</w:t>
      </w:r>
      <w:r w:rsidR="009D28A5" w:rsidRPr="00A90B61">
        <w:rPr>
          <w:rFonts w:ascii="Times New Roman" w:hAnsi="Times New Roman" w:cs="Times New Roman"/>
          <w:i/>
          <w:sz w:val="24"/>
          <w:szCs w:val="24"/>
        </w:rPr>
        <w:t>embedded autonomy</w:t>
      </w:r>
      <w:r w:rsidR="009D28A5" w:rsidRPr="00A90B61">
        <w:rPr>
          <w:rFonts w:ascii="Times New Roman" w:hAnsi="Times New Roman" w:cs="Times New Roman"/>
          <w:sz w:val="24"/>
          <w:szCs w:val="24"/>
        </w:rPr>
        <w:t>, em inglês)</w:t>
      </w:r>
      <w:r>
        <w:rPr>
          <w:rFonts w:ascii="Times New Roman" w:hAnsi="Times New Roman" w:cs="Times New Roman"/>
          <w:sz w:val="24"/>
          <w:szCs w:val="24"/>
        </w:rPr>
        <w:t xml:space="preserve"> reflete a ideia que sustenta o modelo de</w:t>
      </w:r>
      <w:r w:rsidR="005C370E">
        <w:rPr>
          <w:rFonts w:ascii="Times New Roman" w:hAnsi="Times New Roman" w:cs="Times New Roman"/>
          <w:sz w:val="24"/>
          <w:szCs w:val="24"/>
        </w:rPr>
        <w:t xml:space="preserve"> Estado</w:t>
      </w:r>
      <w:r>
        <w:rPr>
          <w:rFonts w:ascii="Times New Roman" w:hAnsi="Times New Roman" w:cs="Times New Roman"/>
          <w:sz w:val="24"/>
          <w:szCs w:val="24"/>
        </w:rPr>
        <w:t xml:space="preserve"> desenvolvimentista descrito pelo autor:</w:t>
      </w:r>
    </w:p>
    <w:p w:rsidR="009D28A5" w:rsidRPr="00A90B61" w:rsidRDefault="009D28A5" w:rsidP="009D28A5">
      <w:pPr>
        <w:spacing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ab/>
      </w:r>
    </w:p>
    <w:p w:rsidR="009D28A5" w:rsidRPr="0063341B" w:rsidRDefault="009D28A5" w:rsidP="00143634">
      <w:pPr>
        <w:ind w:left="2268"/>
        <w:rPr>
          <w:rFonts w:ascii="Times New Roman" w:hAnsi="Times New Roman" w:cs="Times New Roman"/>
        </w:rPr>
      </w:pPr>
      <w:r w:rsidRPr="0063341B">
        <w:rPr>
          <w:rFonts w:ascii="Times New Roman" w:hAnsi="Times New Roman" w:cs="Times New Roman"/>
        </w:rPr>
        <w:t>Nos Estados desenvolvimentistas, a parceria é tão importante quanto a autonomia, representando algo mais específico do que o simples fato de o Estado derivar de seu ambiente social. (...) A parceria, da forma aqui usada, implica um grupo concreto de conexões que ligam o Estado íntima e agressivamente a grupos sociais particulares com os quais o Estado compartilha proj</w:t>
      </w:r>
      <w:r>
        <w:rPr>
          <w:rFonts w:ascii="Times New Roman" w:hAnsi="Times New Roman" w:cs="Times New Roman"/>
        </w:rPr>
        <w:t>etos conjuntos de transformação</w:t>
      </w:r>
      <w:r w:rsidR="00931B68">
        <w:rPr>
          <w:rFonts w:ascii="Times New Roman" w:hAnsi="Times New Roman" w:cs="Times New Roman"/>
        </w:rPr>
        <w:t xml:space="preserve"> (EVANS</w:t>
      </w:r>
      <w:r w:rsidRPr="0063341B">
        <w:rPr>
          <w:rFonts w:ascii="Times New Roman" w:hAnsi="Times New Roman" w:cs="Times New Roman"/>
        </w:rPr>
        <w:t>, 2004, p.93).</w:t>
      </w:r>
    </w:p>
    <w:p w:rsidR="009D28A5" w:rsidRPr="00A90B61" w:rsidRDefault="009D28A5" w:rsidP="009D28A5">
      <w:pPr>
        <w:spacing w:line="360" w:lineRule="auto"/>
        <w:ind w:left="708"/>
        <w:rPr>
          <w:rFonts w:ascii="Times New Roman" w:hAnsi="Times New Roman" w:cs="Times New Roman"/>
          <w:sz w:val="20"/>
          <w:szCs w:val="20"/>
        </w:rPr>
      </w:pPr>
    </w:p>
    <w:p w:rsidR="009D28A5" w:rsidRPr="00A90B61" w:rsidRDefault="009D28A5" w:rsidP="009D28A5">
      <w:pPr>
        <w:spacing w:line="360" w:lineRule="auto"/>
        <w:ind w:firstLine="708"/>
        <w:rPr>
          <w:rFonts w:ascii="Times New Roman" w:hAnsi="Times New Roman" w:cs="Times New Roman"/>
          <w:sz w:val="24"/>
          <w:szCs w:val="24"/>
        </w:rPr>
      </w:pPr>
      <w:r w:rsidRPr="00A90B61">
        <w:rPr>
          <w:rFonts w:ascii="Times New Roman" w:hAnsi="Times New Roman" w:cs="Times New Roman"/>
          <w:sz w:val="24"/>
          <w:szCs w:val="24"/>
        </w:rPr>
        <w:t>O autor alerta para o fato de que, isoladamente, tanto autonomia como parceria podem se mostrar prejudiciais ao processo de desenvolvimento. A autonomia sozinha faz com que o Estado busque objetivos não coerentes com o desenvolvimento e bem-estar da sociedade. Por outro lado, onde não há estrut</w:t>
      </w:r>
      <w:r>
        <w:rPr>
          <w:rFonts w:ascii="Times New Roman" w:hAnsi="Times New Roman" w:cs="Times New Roman"/>
          <w:sz w:val="24"/>
          <w:szCs w:val="24"/>
        </w:rPr>
        <w:t>ura organiz</w:t>
      </w:r>
      <w:r w:rsidRPr="00A90B61">
        <w:rPr>
          <w:rFonts w:ascii="Times New Roman" w:hAnsi="Times New Roman" w:cs="Times New Roman"/>
          <w:sz w:val="24"/>
          <w:szCs w:val="24"/>
        </w:rPr>
        <w:t>ada do Estado, a parceria se traduz em pura busca de renda, ou seja, em comportamento predatório dos dirigentes, cujos interesses passam a governar as ações do Estado.</w:t>
      </w:r>
    </w:p>
    <w:p w:rsidR="008B1954" w:rsidRDefault="009D28A5" w:rsidP="00D14BD8">
      <w:pPr>
        <w:spacing w:line="360" w:lineRule="auto"/>
        <w:ind w:firstLine="708"/>
        <w:rPr>
          <w:rFonts w:ascii="Times New Roman" w:hAnsi="Times New Roman" w:cs="Times New Roman"/>
          <w:sz w:val="24"/>
          <w:szCs w:val="24"/>
        </w:rPr>
      </w:pPr>
      <w:r w:rsidRPr="00A90B61">
        <w:rPr>
          <w:rFonts w:ascii="Times New Roman" w:hAnsi="Times New Roman" w:cs="Times New Roman"/>
          <w:sz w:val="24"/>
          <w:szCs w:val="24"/>
        </w:rPr>
        <w:t>Ha-Joon Chang é outro autor que trata da importância do Estado na</w:t>
      </w:r>
      <w:r w:rsidRPr="00694F6D">
        <w:rPr>
          <w:rFonts w:ascii="Times New Roman" w:hAnsi="Times New Roman" w:cs="Times New Roman"/>
          <w:sz w:val="24"/>
          <w:szCs w:val="24"/>
        </w:rPr>
        <w:t xml:space="preserve"> constituição</w:t>
      </w:r>
      <w:r w:rsidRPr="00A90B61">
        <w:rPr>
          <w:rFonts w:ascii="Times New Roman" w:hAnsi="Times New Roman" w:cs="Times New Roman"/>
          <w:sz w:val="24"/>
          <w:szCs w:val="24"/>
        </w:rPr>
        <w:t xml:space="preserve"> de arranjos institucionais. </w:t>
      </w:r>
      <w:r w:rsidR="00694F6D">
        <w:rPr>
          <w:rFonts w:ascii="Times New Roman" w:hAnsi="Times New Roman" w:cs="Times New Roman"/>
          <w:sz w:val="24"/>
          <w:szCs w:val="24"/>
        </w:rPr>
        <w:t>Chang (2003) lembra que</w:t>
      </w:r>
      <w:r w:rsidR="006367CE">
        <w:rPr>
          <w:rFonts w:ascii="Times New Roman" w:hAnsi="Times New Roman" w:cs="Times New Roman"/>
          <w:sz w:val="24"/>
          <w:szCs w:val="24"/>
        </w:rPr>
        <w:t xml:space="preserve"> nas economias modernas os fatores de produção são interdependentes no uso, porém se</w:t>
      </w:r>
      <w:r w:rsidR="00694F6D">
        <w:rPr>
          <w:rFonts w:ascii="Times New Roman" w:hAnsi="Times New Roman" w:cs="Times New Roman"/>
          <w:sz w:val="24"/>
          <w:szCs w:val="24"/>
        </w:rPr>
        <w:t>us proprietários estão isolados uns dos outros</w:t>
      </w:r>
      <w:r w:rsidR="006367CE">
        <w:rPr>
          <w:rFonts w:ascii="Times New Roman" w:hAnsi="Times New Roman" w:cs="Times New Roman"/>
          <w:sz w:val="24"/>
          <w:szCs w:val="24"/>
        </w:rPr>
        <w:t>. Considerando que a</w:t>
      </w:r>
      <w:r w:rsidRPr="00A90B61">
        <w:rPr>
          <w:rFonts w:ascii="Times New Roman" w:hAnsi="Times New Roman" w:cs="Times New Roman"/>
          <w:sz w:val="24"/>
          <w:szCs w:val="24"/>
        </w:rPr>
        <w:t xml:space="preserve"> transformação estrutural da economia</w:t>
      </w:r>
      <w:r w:rsidR="008422F2">
        <w:rPr>
          <w:rFonts w:ascii="Times New Roman" w:hAnsi="Times New Roman" w:cs="Times New Roman"/>
          <w:sz w:val="24"/>
          <w:szCs w:val="24"/>
        </w:rPr>
        <w:t xml:space="preserve"> no processo de desenvolvimento</w:t>
      </w:r>
      <w:r w:rsidRPr="00A90B61">
        <w:rPr>
          <w:rFonts w:ascii="Times New Roman" w:hAnsi="Times New Roman" w:cs="Times New Roman"/>
          <w:sz w:val="24"/>
          <w:szCs w:val="24"/>
        </w:rPr>
        <w:t xml:space="preserve"> inevitavelmente torna o ambiente mais complexo e inc</w:t>
      </w:r>
      <w:r w:rsidR="006367CE">
        <w:rPr>
          <w:rFonts w:ascii="Times New Roman" w:hAnsi="Times New Roman" w:cs="Times New Roman"/>
          <w:sz w:val="24"/>
          <w:szCs w:val="24"/>
        </w:rPr>
        <w:t>erto para os agentes econômicos,</w:t>
      </w:r>
      <w:r w:rsidR="006367CE" w:rsidRPr="006367CE">
        <w:rPr>
          <w:rFonts w:ascii="Times New Roman" w:hAnsi="Times New Roman" w:cs="Times New Roman"/>
          <w:sz w:val="24"/>
          <w:szCs w:val="24"/>
        </w:rPr>
        <w:t xml:space="preserve"> </w:t>
      </w:r>
      <w:r w:rsidR="006367CE" w:rsidRPr="00A90B61">
        <w:rPr>
          <w:rFonts w:ascii="Times New Roman" w:hAnsi="Times New Roman" w:cs="Times New Roman"/>
          <w:sz w:val="24"/>
          <w:szCs w:val="24"/>
        </w:rPr>
        <w:t>muitas vezes, os agentes privados, dotados de racionalidade limitada, não são capazes de enxergar oportunidades que poderiam gerar benefícios a toda a sociedade.</w:t>
      </w:r>
      <w:r w:rsidRPr="00A90B61">
        <w:rPr>
          <w:rFonts w:ascii="Times New Roman" w:hAnsi="Times New Roman" w:cs="Times New Roman"/>
          <w:sz w:val="24"/>
          <w:szCs w:val="24"/>
        </w:rPr>
        <w:t xml:space="preserve"> O papel do Estado</w:t>
      </w:r>
      <w:r w:rsidR="00694F6D">
        <w:rPr>
          <w:rFonts w:ascii="Times New Roman" w:hAnsi="Times New Roman" w:cs="Times New Roman"/>
          <w:sz w:val="24"/>
          <w:szCs w:val="24"/>
        </w:rPr>
        <w:t xml:space="preserve">, portanto, </w:t>
      </w:r>
      <w:r w:rsidRPr="00A90B61">
        <w:rPr>
          <w:rFonts w:ascii="Times New Roman" w:hAnsi="Times New Roman" w:cs="Times New Roman"/>
          <w:sz w:val="24"/>
          <w:szCs w:val="24"/>
        </w:rPr>
        <w:t xml:space="preserve">não </w:t>
      </w:r>
      <w:r w:rsidR="00694F6D">
        <w:rPr>
          <w:rFonts w:ascii="Times New Roman" w:hAnsi="Times New Roman" w:cs="Times New Roman"/>
          <w:sz w:val="24"/>
          <w:szCs w:val="24"/>
        </w:rPr>
        <w:t xml:space="preserve">está </w:t>
      </w:r>
      <w:r w:rsidRPr="00A90B61">
        <w:rPr>
          <w:rFonts w:ascii="Times New Roman" w:hAnsi="Times New Roman" w:cs="Times New Roman"/>
          <w:sz w:val="24"/>
          <w:szCs w:val="24"/>
        </w:rPr>
        <w:t>somente no estabelecimento desses mecanismos, gerindo os possíveis conflitos, mas também na realização do emp</w:t>
      </w:r>
      <w:r w:rsidR="006367CE">
        <w:rPr>
          <w:rFonts w:ascii="Times New Roman" w:hAnsi="Times New Roman" w:cs="Times New Roman"/>
          <w:sz w:val="24"/>
          <w:szCs w:val="24"/>
        </w:rPr>
        <w:t xml:space="preserve">reendimento em si. Desse modo, uma mudança estrutural efetiva requer mudanças coordenadas em diversas esferas da economia. </w:t>
      </w:r>
      <w:r w:rsidR="006367CE" w:rsidRPr="00A90B61">
        <w:rPr>
          <w:rFonts w:ascii="Times New Roman" w:hAnsi="Times New Roman" w:cs="Times New Roman"/>
          <w:sz w:val="24"/>
          <w:szCs w:val="24"/>
        </w:rPr>
        <w:t>Mudanças tecnológicas</w:t>
      </w:r>
      <w:r w:rsidR="006367CE">
        <w:rPr>
          <w:rFonts w:ascii="Times New Roman" w:hAnsi="Times New Roman" w:cs="Times New Roman"/>
          <w:sz w:val="24"/>
          <w:szCs w:val="24"/>
        </w:rPr>
        <w:t>, por exemplo,</w:t>
      </w:r>
      <w:r w:rsidR="006367CE" w:rsidRPr="00A90B61">
        <w:rPr>
          <w:rFonts w:ascii="Times New Roman" w:hAnsi="Times New Roman" w:cs="Times New Roman"/>
          <w:sz w:val="24"/>
          <w:szCs w:val="24"/>
        </w:rPr>
        <w:t xml:space="preserve"> requerem adaptação dos ativos físicos, da mão-de-obra e das próprias estruturas organizacionais.</w:t>
      </w:r>
      <w:r w:rsidR="006367CE">
        <w:rPr>
          <w:rFonts w:ascii="Times New Roman" w:hAnsi="Times New Roman" w:cs="Times New Roman"/>
          <w:sz w:val="24"/>
          <w:szCs w:val="24"/>
        </w:rPr>
        <w:t xml:space="preserve"> </w:t>
      </w:r>
      <w:r w:rsidR="00694F6D">
        <w:rPr>
          <w:rFonts w:ascii="Times New Roman" w:hAnsi="Times New Roman" w:cs="Times New Roman"/>
          <w:sz w:val="24"/>
          <w:szCs w:val="24"/>
        </w:rPr>
        <w:t>O Estado, então, pode</w:t>
      </w:r>
      <w:r w:rsidR="008B1954">
        <w:rPr>
          <w:rFonts w:ascii="Times New Roman" w:hAnsi="Times New Roman" w:cs="Times New Roman"/>
          <w:sz w:val="24"/>
          <w:szCs w:val="24"/>
        </w:rPr>
        <w:t xml:space="preserve"> </w:t>
      </w:r>
      <w:r w:rsidRPr="00A90B61">
        <w:rPr>
          <w:rFonts w:ascii="Times New Roman" w:hAnsi="Times New Roman" w:cs="Times New Roman"/>
          <w:sz w:val="24"/>
          <w:szCs w:val="24"/>
        </w:rPr>
        <w:t>fornecer uma visão</w:t>
      </w:r>
      <w:r w:rsidR="008B1954">
        <w:rPr>
          <w:rFonts w:ascii="Times New Roman" w:hAnsi="Times New Roman" w:cs="Times New Roman"/>
          <w:sz w:val="24"/>
          <w:szCs w:val="24"/>
        </w:rPr>
        <w:t xml:space="preserve"> </w:t>
      </w:r>
      <w:r w:rsidR="0066787C">
        <w:rPr>
          <w:rFonts w:ascii="Times New Roman" w:hAnsi="Times New Roman" w:cs="Times New Roman"/>
          <w:sz w:val="24"/>
          <w:szCs w:val="24"/>
        </w:rPr>
        <w:t>sistêmica,</w:t>
      </w:r>
      <w:r w:rsidR="008B1954">
        <w:rPr>
          <w:rFonts w:ascii="Times New Roman" w:hAnsi="Times New Roman" w:cs="Times New Roman"/>
          <w:sz w:val="24"/>
          <w:szCs w:val="24"/>
        </w:rPr>
        <w:t xml:space="preserve"> que indique oportunidades e dir</w:t>
      </w:r>
      <w:r w:rsidR="00694F6D">
        <w:rPr>
          <w:rFonts w:ascii="Times New Roman" w:hAnsi="Times New Roman" w:cs="Times New Roman"/>
          <w:sz w:val="24"/>
          <w:szCs w:val="24"/>
        </w:rPr>
        <w:t xml:space="preserve">ecione investimentos, além de </w:t>
      </w:r>
      <w:r w:rsidR="008B1954">
        <w:rPr>
          <w:rFonts w:ascii="Times New Roman" w:hAnsi="Times New Roman" w:cs="Times New Roman"/>
          <w:sz w:val="24"/>
          <w:szCs w:val="24"/>
        </w:rPr>
        <w:t>construir “novos veículos institucionais” para que a atividade emp</w:t>
      </w:r>
      <w:r w:rsidR="009D7FA5">
        <w:rPr>
          <w:rFonts w:ascii="Times New Roman" w:hAnsi="Times New Roman" w:cs="Times New Roman"/>
          <w:sz w:val="24"/>
          <w:szCs w:val="24"/>
        </w:rPr>
        <w:t>reendedora tenha sucesso.</w:t>
      </w:r>
    </w:p>
    <w:p w:rsidR="009D28A5" w:rsidRDefault="00D14BD8" w:rsidP="00D14BD8">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A ideia </w:t>
      </w:r>
      <w:r w:rsidR="00A07FB0">
        <w:rPr>
          <w:rFonts w:ascii="Times New Roman" w:hAnsi="Times New Roman" w:cs="Times New Roman"/>
          <w:sz w:val="24"/>
          <w:szCs w:val="24"/>
        </w:rPr>
        <w:t>de que uma ampla coordenação</w:t>
      </w:r>
      <w:r w:rsidR="009D28A5" w:rsidRPr="00A90B61">
        <w:rPr>
          <w:rFonts w:ascii="Times New Roman" w:hAnsi="Times New Roman" w:cs="Times New Roman"/>
          <w:sz w:val="24"/>
          <w:szCs w:val="24"/>
        </w:rPr>
        <w:t xml:space="preserve"> é necessária para que a </w:t>
      </w:r>
      <w:r w:rsidR="009D28A5">
        <w:rPr>
          <w:rFonts w:ascii="Times New Roman" w:hAnsi="Times New Roman" w:cs="Times New Roman"/>
          <w:sz w:val="24"/>
          <w:szCs w:val="24"/>
        </w:rPr>
        <w:t xml:space="preserve">aplicação </w:t>
      </w:r>
      <w:r w:rsidR="009D28A5" w:rsidRPr="00A90B61">
        <w:rPr>
          <w:rFonts w:ascii="Times New Roman" w:hAnsi="Times New Roman" w:cs="Times New Roman"/>
          <w:sz w:val="24"/>
          <w:szCs w:val="24"/>
        </w:rPr>
        <w:t>da política econômica seja bem-sucedida</w:t>
      </w:r>
      <w:r>
        <w:rPr>
          <w:rFonts w:ascii="Times New Roman" w:hAnsi="Times New Roman" w:cs="Times New Roman"/>
          <w:sz w:val="24"/>
          <w:szCs w:val="24"/>
        </w:rPr>
        <w:t xml:space="preserve"> </w:t>
      </w:r>
      <w:r w:rsidR="009D28A5" w:rsidRPr="00A90B61">
        <w:rPr>
          <w:rFonts w:ascii="Times New Roman" w:hAnsi="Times New Roman" w:cs="Times New Roman"/>
          <w:sz w:val="24"/>
          <w:szCs w:val="24"/>
        </w:rPr>
        <w:t>se aproxima da noção de parceria sugerida por Peter Evans</w:t>
      </w:r>
      <w:r w:rsidR="00694F6D">
        <w:rPr>
          <w:rStyle w:val="Refdenotaderodap"/>
          <w:rFonts w:ascii="Times New Roman" w:hAnsi="Times New Roman" w:cs="Times New Roman"/>
          <w:sz w:val="24"/>
          <w:szCs w:val="24"/>
        </w:rPr>
        <w:footnoteReference w:id="4"/>
      </w:r>
      <w:r w:rsidR="00B5549E">
        <w:rPr>
          <w:rFonts w:ascii="Times New Roman" w:hAnsi="Times New Roman" w:cs="Times New Roman"/>
          <w:sz w:val="24"/>
          <w:szCs w:val="24"/>
        </w:rPr>
        <w:t xml:space="preserve"> (2004)</w:t>
      </w:r>
      <w:r w:rsidR="009D28A5" w:rsidRPr="00A90B61">
        <w:rPr>
          <w:rFonts w:ascii="Times New Roman" w:hAnsi="Times New Roman" w:cs="Times New Roman"/>
          <w:sz w:val="24"/>
          <w:szCs w:val="24"/>
        </w:rPr>
        <w:t>. A diferença é que o enfoque deste autor se dá sobre a estrutura organizacional do Estado e a própria política industrial, ao passo que Chang</w:t>
      </w:r>
      <w:r>
        <w:rPr>
          <w:rFonts w:ascii="Times New Roman" w:hAnsi="Times New Roman" w:cs="Times New Roman"/>
          <w:sz w:val="24"/>
          <w:szCs w:val="24"/>
        </w:rPr>
        <w:t xml:space="preserve"> (2003) enfatiza a adoção</w:t>
      </w:r>
      <w:r w:rsidR="009D28A5" w:rsidRPr="00A90B61">
        <w:rPr>
          <w:rFonts w:ascii="Times New Roman" w:hAnsi="Times New Roman" w:cs="Times New Roman"/>
          <w:sz w:val="24"/>
          <w:szCs w:val="24"/>
        </w:rPr>
        <w:t xml:space="preserve"> de políticas econômicas por meio de determinados arranjos institucionais, sugerindo </w:t>
      </w:r>
      <w:r w:rsidR="009D28A5">
        <w:rPr>
          <w:rFonts w:ascii="Times New Roman" w:hAnsi="Times New Roman" w:cs="Times New Roman"/>
          <w:sz w:val="24"/>
          <w:szCs w:val="24"/>
        </w:rPr>
        <w:t>que o Estado deve agir como</w:t>
      </w:r>
      <w:r w:rsidR="009D28A5" w:rsidRPr="00A90B61">
        <w:rPr>
          <w:rFonts w:ascii="Times New Roman" w:hAnsi="Times New Roman" w:cs="Times New Roman"/>
          <w:sz w:val="24"/>
          <w:szCs w:val="24"/>
        </w:rPr>
        <w:t xml:space="preserve"> mediador de conflitos e como empreendedor, com ativa coordenação de agentes privados. De qualquer modo, </w:t>
      </w:r>
      <w:r w:rsidR="009D28A5">
        <w:rPr>
          <w:rFonts w:ascii="Times New Roman" w:hAnsi="Times New Roman" w:cs="Times New Roman"/>
          <w:sz w:val="24"/>
          <w:szCs w:val="24"/>
        </w:rPr>
        <w:t xml:space="preserve">apesar das diferenças, </w:t>
      </w:r>
      <w:r w:rsidR="009D28A5" w:rsidRPr="00A90B61">
        <w:rPr>
          <w:rFonts w:ascii="Times New Roman" w:hAnsi="Times New Roman" w:cs="Times New Roman"/>
          <w:sz w:val="24"/>
          <w:szCs w:val="24"/>
        </w:rPr>
        <w:t xml:space="preserve">ambos fornecem </w:t>
      </w:r>
      <w:r w:rsidR="006367CE">
        <w:rPr>
          <w:rFonts w:ascii="Times New Roman" w:hAnsi="Times New Roman" w:cs="Times New Roman"/>
          <w:sz w:val="24"/>
          <w:szCs w:val="24"/>
        </w:rPr>
        <w:t xml:space="preserve">análises </w:t>
      </w:r>
      <w:r w:rsidR="006367CE">
        <w:rPr>
          <w:rFonts w:ascii="Times New Roman" w:hAnsi="Times New Roman" w:cs="Times New Roman"/>
          <w:sz w:val="24"/>
          <w:szCs w:val="24"/>
        </w:rPr>
        <w:lastRenderedPageBreak/>
        <w:t>complementares acerca</w:t>
      </w:r>
      <w:r w:rsidR="009D28A5" w:rsidRPr="00A90B61">
        <w:rPr>
          <w:rFonts w:ascii="Times New Roman" w:hAnsi="Times New Roman" w:cs="Times New Roman"/>
          <w:sz w:val="24"/>
          <w:szCs w:val="24"/>
        </w:rPr>
        <w:t xml:space="preserve"> do papel do Estado na organização do sistema econômico e no desenvolvimento </w:t>
      </w:r>
      <w:r w:rsidR="000B7678">
        <w:rPr>
          <w:rFonts w:ascii="Times New Roman" w:hAnsi="Times New Roman" w:cs="Times New Roman"/>
          <w:sz w:val="24"/>
          <w:szCs w:val="24"/>
        </w:rPr>
        <w:t>(FIAN</w:t>
      </w:r>
      <w:r w:rsidR="00BE1D1F">
        <w:rPr>
          <w:rFonts w:ascii="Times New Roman" w:hAnsi="Times New Roman" w:cs="Times New Roman"/>
          <w:sz w:val="24"/>
          <w:szCs w:val="24"/>
        </w:rPr>
        <w:t>I, 2011</w:t>
      </w:r>
      <w:r w:rsidR="009D28A5">
        <w:rPr>
          <w:rFonts w:ascii="Times New Roman" w:hAnsi="Times New Roman" w:cs="Times New Roman"/>
          <w:sz w:val="24"/>
          <w:szCs w:val="24"/>
        </w:rPr>
        <w:t>)</w:t>
      </w:r>
      <w:r w:rsidR="009D28A5" w:rsidRPr="00A90B61">
        <w:rPr>
          <w:rFonts w:ascii="Times New Roman" w:hAnsi="Times New Roman" w:cs="Times New Roman"/>
          <w:sz w:val="24"/>
          <w:szCs w:val="24"/>
        </w:rPr>
        <w:t>.</w:t>
      </w:r>
    </w:p>
    <w:p w:rsidR="00173024" w:rsidRPr="00173024" w:rsidRDefault="00047CEF" w:rsidP="00173024">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Em suma</w:t>
      </w:r>
      <w:r w:rsidR="006367CE">
        <w:rPr>
          <w:rFonts w:ascii="Times New Roman" w:hAnsi="Times New Roman" w:cs="Times New Roman"/>
          <w:sz w:val="24"/>
          <w:szCs w:val="24"/>
          <w:lang w:val="pt-PT"/>
        </w:rPr>
        <w:t>, o</w:t>
      </w:r>
      <w:r w:rsidR="00173024" w:rsidRPr="00173024">
        <w:rPr>
          <w:rFonts w:ascii="Times New Roman" w:hAnsi="Times New Roman" w:cs="Times New Roman"/>
          <w:sz w:val="24"/>
          <w:szCs w:val="24"/>
          <w:lang w:val="pt-PT"/>
        </w:rPr>
        <w:t xml:space="preserve"> processo</w:t>
      </w:r>
      <w:r w:rsidR="000712B6">
        <w:rPr>
          <w:rFonts w:ascii="Times New Roman" w:hAnsi="Times New Roman" w:cs="Times New Roman"/>
          <w:sz w:val="24"/>
          <w:szCs w:val="24"/>
          <w:lang w:val="pt-PT"/>
        </w:rPr>
        <w:t xml:space="preserve"> de desenvolvimento é</w:t>
      </w:r>
      <w:r w:rsidR="00173024" w:rsidRPr="00173024">
        <w:rPr>
          <w:rFonts w:ascii="Times New Roman" w:hAnsi="Times New Roman" w:cs="Times New Roman"/>
          <w:sz w:val="24"/>
          <w:szCs w:val="24"/>
          <w:lang w:val="pt-PT"/>
        </w:rPr>
        <w:t xml:space="preserve"> marcado pela existência de conflitos e requer a capacidade de os agentes </w:t>
      </w:r>
      <w:r w:rsidR="003721D7">
        <w:rPr>
          <w:rFonts w:ascii="Times New Roman" w:hAnsi="Times New Roman" w:cs="Times New Roman"/>
          <w:sz w:val="24"/>
          <w:szCs w:val="24"/>
          <w:lang w:val="pt-PT"/>
        </w:rPr>
        <w:t xml:space="preserve">se </w:t>
      </w:r>
      <w:r w:rsidR="00A362DB">
        <w:rPr>
          <w:rFonts w:ascii="Times New Roman" w:hAnsi="Times New Roman" w:cs="Times New Roman"/>
          <w:sz w:val="24"/>
          <w:szCs w:val="24"/>
          <w:lang w:val="pt-PT"/>
        </w:rPr>
        <w:t>coordenarem. Porém foi visto</w:t>
      </w:r>
      <w:r w:rsidR="00173024" w:rsidRPr="00173024">
        <w:rPr>
          <w:rFonts w:ascii="Times New Roman" w:hAnsi="Times New Roman" w:cs="Times New Roman"/>
          <w:sz w:val="24"/>
          <w:szCs w:val="24"/>
          <w:lang w:val="pt-PT"/>
        </w:rPr>
        <w:t xml:space="preserve"> que não há consenso entre os autores institucionalistas acerca do foco de atuação do governo, se deveria ser sobre o ambiente institucional apenas (visão de Douglass North) ou se deveria se estender à formação dos arranjos institucionais mais adequados à cooperação (visão de Peter Evans e Ha-Joon Chang).</w:t>
      </w:r>
    </w:p>
    <w:p w:rsidR="009D28A5" w:rsidRPr="00A90B61" w:rsidRDefault="009D28A5" w:rsidP="009D28A5">
      <w:pPr>
        <w:spacing w:line="360" w:lineRule="auto"/>
        <w:ind w:firstLine="708"/>
        <w:rPr>
          <w:rFonts w:ascii="Times New Roman" w:hAnsi="Times New Roman" w:cs="Times New Roman"/>
          <w:sz w:val="24"/>
          <w:szCs w:val="24"/>
        </w:rPr>
      </w:pPr>
      <w:r>
        <w:rPr>
          <w:rFonts w:ascii="Times New Roman" w:hAnsi="Times New Roman" w:cs="Times New Roman"/>
          <w:sz w:val="24"/>
          <w:szCs w:val="24"/>
        </w:rPr>
        <w:t>E</w:t>
      </w:r>
      <w:r w:rsidR="000712B6">
        <w:rPr>
          <w:rFonts w:ascii="Times New Roman" w:hAnsi="Times New Roman" w:cs="Times New Roman"/>
          <w:sz w:val="24"/>
          <w:szCs w:val="24"/>
        </w:rPr>
        <w:t>ssa</w:t>
      </w:r>
      <w:r>
        <w:rPr>
          <w:rFonts w:ascii="Times New Roman" w:hAnsi="Times New Roman" w:cs="Times New Roman"/>
          <w:sz w:val="24"/>
          <w:szCs w:val="24"/>
        </w:rPr>
        <w:t xml:space="preserve"> discussão sobre o papel do Estado e das instituições no desenvolvimento econômico pode parecer desnecessária diante das perguntas objetivas de referência que foram colocadas na Int</w:t>
      </w:r>
      <w:r w:rsidR="0042775C">
        <w:rPr>
          <w:rFonts w:ascii="Times New Roman" w:hAnsi="Times New Roman" w:cs="Times New Roman"/>
          <w:sz w:val="24"/>
          <w:szCs w:val="24"/>
        </w:rPr>
        <w:t>rodução. Entretanto,</w:t>
      </w:r>
      <w:r>
        <w:rPr>
          <w:rFonts w:ascii="Times New Roman" w:hAnsi="Times New Roman" w:cs="Times New Roman"/>
          <w:sz w:val="24"/>
          <w:szCs w:val="24"/>
        </w:rPr>
        <w:t xml:space="preserve"> ela fornece fundamentos teóricos bastante úteis quando nos depararmos com as justificativas para a intervenção governamental mais à frente.</w:t>
      </w:r>
      <w:r w:rsidR="00883AE8" w:rsidRPr="00883AE8">
        <w:rPr>
          <w:rFonts w:ascii="Times New Roman" w:hAnsi="Times New Roman" w:cs="Times New Roman"/>
          <w:color w:val="FF0000"/>
          <w:sz w:val="24"/>
          <w:szCs w:val="24"/>
        </w:rPr>
        <w:t xml:space="preserve"> </w:t>
      </w:r>
      <w:r w:rsidR="000712B6" w:rsidRPr="000712B6">
        <w:rPr>
          <w:rFonts w:ascii="Times New Roman" w:hAnsi="Times New Roman" w:cs="Times New Roman"/>
          <w:sz w:val="24"/>
          <w:szCs w:val="24"/>
        </w:rPr>
        <w:t>O conceito de autonomia inserida, por exemplo, é aplicável à própria atuação do órgão regulador, do qual se exige a capacidade de adaptação a mudanças decorrentes das políticas públicas e da dinâmica industrial de inovação no setor regulado.</w:t>
      </w:r>
      <w:r w:rsidR="000712B6">
        <w:rPr>
          <w:rFonts w:ascii="Times New Roman" w:hAnsi="Times New Roman" w:cs="Times New Roman"/>
          <w:color w:val="FF0000"/>
          <w:sz w:val="24"/>
          <w:szCs w:val="24"/>
        </w:rPr>
        <w:t xml:space="preserve"> </w:t>
      </w:r>
    </w:p>
    <w:p w:rsidR="009D28A5" w:rsidRDefault="009D28A5" w:rsidP="009D28A5">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A contribuição de Ne</w:t>
      </w:r>
      <w:r w:rsidR="00B536D6">
        <w:rPr>
          <w:rFonts w:ascii="Times New Roman" w:hAnsi="Times New Roman" w:cs="Times New Roman"/>
          <w:sz w:val="24"/>
          <w:szCs w:val="24"/>
          <w:lang w:val="pt-PT"/>
        </w:rPr>
        <w:t>lson e Winte</w:t>
      </w:r>
      <w:r w:rsidR="007C6715">
        <w:rPr>
          <w:rFonts w:ascii="Times New Roman" w:hAnsi="Times New Roman" w:cs="Times New Roman"/>
          <w:sz w:val="24"/>
          <w:szCs w:val="24"/>
          <w:lang w:val="pt-PT"/>
        </w:rPr>
        <w:t>r (1982</w:t>
      </w:r>
      <w:r w:rsidR="00B536D6">
        <w:rPr>
          <w:rFonts w:ascii="Times New Roman" w:hAnsi="Times New Roman" w:cs="Times New Roman"/>
          <w:sz w:val="24"/>
          <w:szCs w:val="24"/>
          <w:lang w:val="pt-PT"/>
        </w:rPr>
        <w:t>) apresenta</w:t>
      </w:r>
      <w:r w:rsidR="00CB7C6B">
        <w:rPr>
          <w:rFonts w:ascii="Times New Roman" w:hAnsi="Times New Roman" w:cs="Times New Roman"/>
          <w:sz w:val="24"/>
          <w:szCs w:val="24"/>
          <w:lang w:val="pt-PT"/>
        </w:rPr>
        <w:t xml:space="preserve"> enfoque evolucionário, em que</w:t>
      </w:r>
      <w:r>
        <w:rPr>
          <w:rFonts w:ascii="Times New Roman" w:hAnsi="Times New Roman" w:cs="Times New Roman"/>
          <w:sz w:val="24"/>
          <w:szCs w:val="24"/>
          <w:lang w:val="pt-PT"/>
        </w:rPr>
        <w:t xml:space="preserve"> a atuação governamental tem grande relevância no processo de inovação, e seus argumentos se relaciona</w:t>
      </w:r>
      <w:r w:rsidR="00321586">
        <w:rPr>
          <w:rFonts w:ascii="Times New Roman" w:hAnsi="Times New Roman" w:cs="Times New Roman"/>
          <w:sz w:val="24"/>
          <w:szCs w:val="24"/>
          <w:lang w:val="pt-PT"/>
        </w:rPr>
        <w:t>m</w:t>
      </w:r>
      <w:r>
        <w:rPr>
          <w:rFonts w:ascii="Times New Roman" w:hAnsi="Times New Roman" w:cs="Times New Roman"/>
          <w:sz w:val="24"/>
          <w:szCs w:val="24"/>
          <w:lang w:val="pt-PT"/>
        </w:rPr>
        <w:t xml:space="preserve"> de forma mais direta com as proposições desse trabalho. Os autores afirmam que a elaboração de políticas é um processo evolucionário contínuo no qual as estruturas organizacionais e institucionais envolvidas assumem papel crítico:</w:t>
      </w:r>
    </w:p>
    <w:p w:rsidR="009D28A5" w:rsidRDefault="009D28A5" w:rsidP="009D28A5">
      <w:pPr>
        <w:spacing w:line="360" w:lineRule="auto"/>
        <w:ind w:firstLine="708"/>
        <w:rPr>
          <w:rFonts w:ascii="Times New Roman" w:hAnsi="Times New Roman" w:cs="Times New Roman"/>
          <w:sz w:val="24"/>
          <w:szCs w:val="24"/>
          <w:lang w:val="pt-PT"/>
        </w:rPr>
      </w:pPr>
    </w:p>
    <w:p w:rsidR="009D28A5" w:rsidRDefault="009D28A5" w:rsidP="009D7FA5">
      <w:pPr>
        <w:ind w:left="2268"/>
        <w:rPr>
          <w:rFonts w:ascii="Times New Roman" w:hAnsi="Times New Roman" w:cs="Times New Roman"/>
          <w:lang w:val="pt-PT"/>
        </w:rPr>
      </w:pPr>
      <w:r w:rsidRPr="00D145BA">
        <w:rPr>
          <w:rFonts w:ascii="Times New Roman" w:hAnsi="Times New Roman" w:cs="Times New Roman"/>
          <w:lang w:val="pt-PT"/>
        </w:rPr>
        <w:t xml:space="preserve">As políticas e os programas públicos, assim como as atividades privadas, estão embutidas em, e são executadas, por </w:t>
      </w:r>
      <w:r w:rsidRPr="00D145BA">
        <w:rPr>
          <w:rFonts w:ascii="Times New Roman" w:hAnsi="Times New Roman" w:cs="Times New Roman"/>
          <w:b/>
          <w:lang w:val="pt-PT"/>
        </w:rPr>
        <w:t>organizações</w:t>
      </w:r>
      <w:r w:rsidRPr="00D145BA">
        <w:rPr>
          <w:rFonts w:ascii="Times New Roman" w:hAnsi="Times New Roman" w:cs="Times New Roman"/>
          <w:lang w:val="pt-PT"/>
        </w:rPr>
        <w:t>. E, num sentido básico, são as organizações que aprendem e adaptam. A formulação de uma boa política é, em considerável medida, o desenho de uma estrutura organizacional capaz de aprender e de ajustar seu comportamento em respos</w:t>
      </w:r>
      <w:r w:rsidR="00B04938">
        <w:rPr>
          <w:rFonts w:ascii="Times New Roman" w:hAnsi="Times New Roman" w:cs="Times New Roman"/>
          <w:lang w:val="pt-PT"/>
        </w:rPr>
        <w:t xml:space="preserve">ta ao que é aprendido (NELSON; </w:t>
      </w:r>
      <w:r w:rsidRPr="00D145BA">
        <w:rPr>
          <w:rFonts w:ascii="Times New Roman" w:hAnsi="Times New Roman" w:cs="Times New Roman"/>
          <w:lang w:val="pt-PT"/>
        </w:rPr>
        <w:t xml:space="preserve">WINTER, </w:t>
      </w:r>
      <w:r w:rsidR="00BE1D1F">
        <w:rPr>
          <w:rFonts w:ascii="Times New Roman" w:hAnsi="Times New Roman" w:cs="Times New Roman"/>
          <w:lang w:val="pt-PT"/>
        </w:rPr>
        <w:t>2005</w:t>
      </w:r>
      <w:r w:rsidRPr="00666760">
        <w:rPr>
          <w:rFonts w:ascii="Times New Roman" w:hAnsi="Times New Roman" w:cs="Times New Roman"/>
          <w:lang w:val="pt-PT"/>
        </w:rPr>
        <w:t>,</w:t>
      </w:r>
      <w:r w:rsidRPr="00D145BA">
        <w:rPr>
          <w:rFonts w:ascii="Times New Roman" w:hAnsi="Times New Roman" w:cs="Times New Roman"/>
          <w:lang w:val="pt-PT"/>
        </w:rPr>
        <w:t xml:space="preserve"> p. 544</w:t>
      </w:r>
      <w:r>
        <w:rPr>
          <w:rFonts w:ascii="Times New Roman" w:hAnsi="Times New Roman" w:cs="Times New Roman"/>
          <w:lang w:val="pt-PT"/>
        </w:rPr>
        <w:t>, grifo nosso</w:t>
      </w:r>
      <w:r w:rsidRPr="00D145BA">
        <w:rPr>
          <w:rFonts w:ascii="Times New Roman" w:hAnsi="Times New Roman" w:cs="Times New Roman"/>
          <w:lang w:val="pt-PT"/>
        </w:rPr>
        <w:t>).</w:t>
      </w:r>
    </w:p>
    <w:p w:rsidR="009D28A5" w:rsidRDefault="009D28A5" w:rsidP="009D28A5">
      <w:pPr>
        <w:spacing w:line="360" w:lineRule="auto"/>
        <w:ind w:firstLine="708"/>
        <w:rPr>
          <w:rFonts w:ascii="Times New Roman" w:hAnsi="Times New Roman" w:cs="Times New Roman"/>
          <w:lang w:val="pt-PT"/>
        </w:rPr>
      </w:pPr>
    </w:p>
    <w:p w:rsidR="009D28A5" w:rsidRDefault="009D28A5" w:rsidP="009D28A5">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Essa evolução contínua pela qual passam as leis, políticas </w:t>
      </w:r>
      <w:r w:rsidR="00EB74B2">
        <w:rPr>
          <w:rFonts w:ascii="Times New Roman" w:hAnsi="Times New Roman" w:cs="Times New Roman"/>
          <w:sz w:val="24"/>
          <w:szCs w:val="24"/>
          <w:lang w:val="pt-PT"/>
        </w:rPr>
        <w:t>e organizações públicas é</w:t>
      </w:r>
      <w:r w:rsidR="001E0D92">
        <w:rPr>
          <w:rFonts w:ascii="Times New Roman" w:hAnsi="Times New Roman" w:cs="Times New Roman"/>
          <w:sz w:val="24"/>
          <w:szCs w:val="24"/>
          <w:lang w:val="pt-PT"/>
        </w:rPr>
        <w:t>, no</w:t>
      </w:r>
      <w:r>
        <w:rPr>
          <w:rFonts w:ascii="Times New Roman" w:hAnsi="Times New Roman" w:cs="Times New Roman"/>
          <w:sz w:val="24"/>
          <w:szCs w:val="24"/>
          <w:lang w:val="pt-PT"/>
        </w:rPr>
        <w:t xml:space="preserve"> longo prazo, o resultado acumulado de ações e reações públicas e privadas </w:t>
      </w:r>
      <w:r w:rsidR="00EB74B2">
        <w:rPr>
          <w:rFonts w:ascii="Times New Roman" w:hAnsi="Times New Roman" w:cs="Times New Roman"/>
          <w:sz w:val="24"/>
          <w:szCs w:val="24"/>
          <w:lang w:val="pt-PT"/>
        </w:rPr>
        <w:t xml:space="preserve">e </w:t>
      </w:r>
      <w:r>
        <w:rPr>
          <w:rFonts w:ascii="Times New Roman" w:hAnsi="Times New Roman" w:cs="Times New Roman"/>
          <w:sz w:val="24"/>
          <w:szCs w:val="24"/>
          <w:lang w:val="pt-PT"/>
        </w:rPr>
        <w:t>representa uma modificação gradual d</w:t>
      </w:r>
      <w:r w:rsidR="001E0D92">
        <w:rPr>
          <w:rFonts w:ascii="Times New Roman" w:hAnsi="Times New Roman" w:cs="Times New Roman"/>
          <w:sz w:val="24"/>
          <w:szCs w:val="24"/>
          <w:lang w:val="pt-PT"/>
        </w:rPr>
        <w:t>a estrutura básica da sociedade</w:t>
      </w:r>
      <w:r w:rsidR="00EB74B2">
        <w:rPr>
          <w:rFonts w:ascii="Times New Roman" w:hAnsi="Times New Roman" w:cs="Times New Roman"/>
          <w:sz w:val="24"/>
          <w:szCs w:val="24"/>
          <w:lang w:val="pt-PT"/>
        </w:rPr>
        <w:t>. A</w:t>
      </w:r>
      <w:r>
        <w:rPr>
          <w:rFonts w:ascii="Times New Roman" w:hAnsi="Times New Roman" w:cs="Times New Roman"/>
          <w:sz w:val="24"/>
          <w:szCs w:val="24"/>
          <w:lang w:val="pt-PT"/>
        </w:rPr>
        <w:t xml:space="preserve">ssim como as tecnologias e as políticas privadas, as políticas públicas também são amplamente postas em prática por </w:t>
      </w:r>
      <w:r w:rsidRPr="005D3BCB">
        <w:rPr>
          <w:rFonts w:ascii="Times New Roman" w:hAnsi="Times New Roman" w:cs="Times New Roman"/>
          <w:sz w:val="24"/>
          <w:szCs w:val="24"/>
          <w:lang w:val="pt-PT"/>
        </w:rPr>
        <w:t>organizações</w:t>
      </w:r>
      <w:r>
        <w:rPr>
          <w:rFonts w:ascii="Times New Roman" w:hAnsi="Times New Roman" w:cs="Times New Roman"/>
          <w:sz w:val="24"/>
          <w:szCs w:val="24"/>
          <w:lang w:val="pt-PT"/>
        </w:rPr>
        <w:t xml:space="preserve"> como uma questão de rotina organizacional</w:t>
      </w:r>
      <w:r w:rsidR="00CB7C6B">
        <w:rPr>
          <w:rStyle w:val="Refdenotaderodap"/>
          <w:rFonts w:ascii="Times New Roman" w:hAnsi="Times New Roman" w:cs="Times New Roman"/>
          <w:sz w:val="24"/>
          <w:szCs w:val="24"/>
          <w:lang w:val="pt-PT"/>
        </w:rPr>
        <w:footnoteReference w:id="5"/>
      </w:r>
      <w:r>
        <w:rPr>
          <w:rFonts w:ascii="Times New Roman" w:hAnsi="Times New Roman" w:cs="Times New Roman"/>
          <w:sz w:val="24"/>
          <w:szCs w:val="24"/>
          <w:lang w:val="pt-PT"/>
        </w:rPr>
        <w:t xml:space="preserve">. </w:t>
      </w:r>
    </w:p>
    <w:p w:rsidR="009D28A5" w:rsidRDefault="009D28A5" w:rsidP="009D28A5">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lastRenderedPageBreak/>
        <w:t>Em rela</w:t>
      </w:r>
      <w:r w:rsidR="006D321F">
        <w:rPr>
          <w:rFonts w:ascii="Times New Roman" w:hAnsi="Times New Roman" w:cs="Times New Roman"/>
          <w:sz w:val="24"/>
          <w:szCs w:val="24"/>
          <w:lang w:val="pt-PT"/>
        </w:rPr>
        <w:t>ção aos fatores propulsores d</w:t>
      </w:r>
      <w:r>
        <w:rPr>
          <w:rFonts w:ascii="Times New Roman" w:hAnsi="Times New Roman" w:cs="Times New Roman"/>
          <w:sz w:val="24"/>
          <w:szCs w:val="24"/>
          <w:lang w:val="pt-PT"/>
        </w:rPr>
        <w:t xml:space="preserve">a evolução, considera-se que as políticas públicas respondem a: i) </w:t>
      </w:r>
      <w:r w:rsidRPr="000100BD">
        <w:rPr>
          <w:rFonts w:ascii="Times New Roman" w:hAnsi="Times New Roman" w:cs="Times New Roman"/>
          <w:sz w:val="24"/>
          <w:szCs w:val="24"/>
          <w:lang w:val="pt-PT"/>
        </w:rPr>
        <w:t>mudanças nas demandas e oportunidades percebidas resultantes da evolução de tecnologias privadas e das estruturas de mercado;</w:t>
      </w:r>
      <w:r>
        <w:rPr>
          <w:rFonts w:ascii="Times New Roman" w:hAnsi="Times New Roman" w:cs="Times New Roman"/>
          <w:sz w:val="24"/>
          <w:szCs w:val="24"/>
          <w:lang w:val="pt-PT"/>
        </w:rPr>
        <w:t xml:space="preserve"> ii) alterações </w:t>
      </w:r>
      <w:r w:rsidRPr="000100BD">
        <w:rPr>
          <w:rFonts w:ascii="Times New Roman" w:hAnsi="Times New Roman" w:cs="Times New Roman"/>
          <w:sz w:val="24"/>
          <w:szCs w:val="24"/>
          <w:lang w:val="pt-PT"/>
        </w:rPr>
        <w:t>nas</w:t>
      </w:r>
      <w:r>
        <w:rPr>
          <w:rFonts w:ascii="Times New Roman" w:hAnsi="Times New Roman" w:cs="Times New Roman"/>
          <w:sz w:val="24"/>
          <w:szCs w:val="24"/>
          <w:lang w:val="pt-PT"/>
        </w:rPr>
        <w:t xml:space="preserve"> condições objetivas</w:t>
      </w:r>
      <w:r w:rsidRPr="000100BD">
        <w:rPr>
          <w:rFonts w:ascii="Times New Roman" w:hAnsi="Times New Roman" w:cs="Times New Roman"/>
          <w:sz w:val="24"/>
          <w:szCs w:val="24"/>
          <w:lang w:val="pt-PT"/>
        </w:rPr>
        <w:t>;</w:t>
      </w:r>
      <w:r>
        <w:rPr>
          <w:rFonts w:ascii="Times New Roman" w:hAnsi="Times New Roman" w:cs="Times New Roman"/>
          <w:sz w:val="24"/>
          <w:szCs w:val="24"/>
          <w:lang w:val="pt-PT"/>
        </w:rPr>
        <w:t xml:space="preserve"> iii) </w:t>
      </w:r>
      <w:r w:rsidRPr="000100BD">
        <w:rPr>
          <w:rFonts w:ascii="Times New Roman" w:hAnsi="Times New Roman" w:cs="Times New Roman"/>
          <w:sz w:val="24"/>
          <w:szCs w:val="24"/>
          <w:lang w:val="pt-PT"/>
        </w:rPr>
        <w:t>mudanças de valores ou compreensão;</w:t>
      </w:r>
      <w:r>
        <w:rPr>
          <w:rFonts w:ascii="Times New Roman" w:hAnsi="Times New Roman" w:cs="Times New Roman"/>
          <w:sz w:val="24"/>
          <w:szCs w:val="24"/>
          <w:lang w:val="pt-PT"/>
        </w:rPr>
        <w:t xml:space="preserve"> ou ainda a iv) </w:t>
      </w:r>
      <w:r w:rsidRPr="000100BD">
        <w:rPr>
          <w:rFonts w:ascii="Times New Roman" w:hAnsi="Times New Roman" w:cs="Times New Roman"/>
          <w:sz w:val="24"/>
          <w:szCs w:val="24"/>
          <w:lang w:val="pt-PT"/>
        </w:rPr>
        <w:t>mudanças no poder relativo de diferentes interesses e grupos dentro da sociedade</w:t>
      </w:r>
      <w:r>
        <w:rPr>
          <w:rFonts w:ascii="Times New Roman" w:hAnsi="Times New Roman" w:cs="Times New Roman"/>
          <w:sz w:val="24"/>
          <w:szCs w:val="24"/>
          <w:lang w:val="pt-PT"/>
        </w:rPr>
        <w:t xml:space="preserve"> </w:t>
      </w:r>
      <w:r w:rsidRPr="000100BD">
        <w:rPr>
          <w:rFonts w:ascii="Times New Roman" w:hAnsi="Times New Roman" w:cs="Times New Roman"/>
          <w:sz w:val="24"/>
          <w:szCs w:val="24"/>
          <w:lang w:val="pt-PT"/>
        </w:rPr>
        <w:t>ao longo do tempo</w:t>
      </w:r>
      <w:r w:rsidR="001A35D5">
        <w:rPr>
          <w:rFonts w:ascii="Times New Roman" w:hAnsi="Times New Roman" w:cs="Times New Roman"/>
          <w:sz w:val="24"/>
          <w:szCs w:val="24"/>
          <w:lang w:val="pt-PT"/>
        </w:rPr>
        <w:t xml:space="preserve"> (NELSON; </w:t>
      </w:r>
      <w:r>
        <w:rPr>
          <w:rFonts w:ascii="Times New Roman" w:hAnsi="Times New Roman" w:cs="Times New Roman"/>
          <w:sz w:val="24"/>
          <w:szCs w:val="24"/>
          <w:lang w:val="pt-PT"/>
        </w:rPr>
        <w:t xml:space="preserve">WINTER, </w:t>
      </w:r>
      <w:r w:rsidR="007C6715">
        <w:rPr>
          <w:rFonts w:ascii="Times New Roman" w:hAnsi="Times New Roman" w:cs="Times New Roman"/>
          <w:sz w:val="24"/>
          <w:szCs w:val="24"/>
          <w:lang w:val="pt-PT"/>
        </w:rPr>
        <w:t>1982</w:t>
      </w:r>
      <w:r>
        <w:rPr>
          <w:rFonts w:ascii="Times New Roman" w:hAnsi="Times New Roman" w:cs="Times New Roman"/>
          <w:sz w:val="24"/>
          <w:szCs w:val="24"/>
          <w:lang w:val="pt-PT"/>
        </w:rPr>
        <w:t>)</w:t>
      </w:r>
      <w:r w:rsidRPr="000100BD">
        <w:rPr>
          <w:rFonts w:ascii="Times New Roman" w:hAnsi="Times New Roman" w:cs="Times New Roman"/>
          <w:sz w:val="24"/>
          <w:szCs w:val="24"/>
          <w:lang w:val="pt-PT"/>
        </w:rPr>
        <w:t>.</w:t>
      </w:r>
      <w:r>
        <w:rPr>
          <w:rFonts w:ascii="Times New Roman" w:hAnsi="Times New Roman" w:cs="Times New Roman"/>
          <w:sz w:val="24"/>
          <w:szCs w:val="24"/>
          <w:lang w:val="pt-PT"/>
        </w:rPr>
        <w:t xml:space="preserve"> </w:t>
      </w:r>
    </w:p>
    <w:p w:rsidR="009D28A5" w:rsidRDefault="008C4F70" w:rsidP="009D28A5">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rPr>
        <w:t>P</w:t>
      </w:r>
      <w:r w:rsidR="006F2751">
        <w:rPr>
          <w:rFonts w:ascii="Times New Roman" w:hAnsi="Times New Roman" w:cs="Times New Roman"/>
          <w:sz w:val="24"/>
          <w:szCs w:val="24"/>
        </w:rPr>
        <w:t>ara os propósitos desta dissertação</w:t>
      </w:r>
      <w:r>
        <w:rPr>
          <w:rFonts w:ascii="Times New Roman" w:hAnsi="Times New Roman" w:cs="Times New Roman"/>
          <w:sz w:val="24"/>
          <w:szCs w:val="24"/>
        </w:rPr>
        <w:t>, é</w:t>
      </w:r>
      <w:r w:rsidR="00511219">
        <w:rPr>
          <w:rFonts w:ascii="Times New Roman" w:hAnsi="Times New Roman" w:cs="Times New Roman"/>
          <w:sz w:val="24"/>
          <w:szCs w:val="24"/>
        </w:rPr>
        <w:t xml:space="preserve"> importante </w:t>
      </w:r>
      <w:r>
        <w:rPr>
          <w:rFonts w:ascii="Times New Roman" w:hAnsi="Times New Roman" w:cs="Times New Roman"/>
          <w:sz w:val="24"/>
          <w:szCs w:val="24"/>
        </w:rPr>
        <w:t>enfatizar</w:t>
      </w:r>
      <w:r w:rsidR="00511219">
        <w:rPr>
          <w:rFonts w:ascii="Times New Roman" w:hAnsi="Times New Roman" w:cs="Times New Roman"/>
          <w:sz w:val="24"/>
          <w:szCs w:val="24"/>
        </w:rPr>
        <w:t xml:space="preserve"> três aspectos da análise de</w:t>
      </w:r>
      <w:r w:rsidR="00F23C6E">
        <w:rPr>
          <w:rFonts w:ascii="Times New Roman" w:hAnsi="Times New Roman" w:cs="Times New Roman"/>
          <w:sz w:val="24"/>
          <w:szCs w:val="24"/>
        </w:rPr>
        <w:t>stes autores</w:t>
      </w:r>
      <w:r w:rsidR="00511219">
        <w:rPr>
          <w:rFonts w:ascii="Times New Roman" w:hAnsi="Times New Roman" w:cs="Times New Roman"/>
          <w:sz w:val="24"/>
          <w:szCs w:val="24"/>
        </w:rPr>
        <w:t>. O primeiro é</w:t>
      </w:r>
      <w:r w:rsidR="006D321F">
        <w:rPr>
          <w:rFonts w:ascii="Times New Roman" w:hAnsi="Times New Roman" w:cs="Times New Roman"/>
          <w:sz w:val="24"/>
          <w:szCs w:val="24"/>
        </w:rPr>
        <w:t xml:space="preserve"> que a</w:t>
      </w:r>
      <w:r w:rsidR="009D28A5" w:rsidRPr="00DF46AF">
        <w:rPr>
          <w:rFonts w:ascii="Times New Roman" w:hAnsi="Times New Roman" w:cs="Times New Roman"/>
          <w:sz w:val="24"/>
          <w:szCs w:val="24"/>
          <w:lang w:val="pt-PT"/>
        </w:rPr>
        <w:t xml:space="preserve"> tomada de decisão públic</w:t>
      </w:r>
      <w:r w:rsidR="006D321F">
        <w:rPr>
          <w:rFonts w:ascii="Times New Roman" w:hAnsi="Times New Roman" w:cs="Times New Roman"/>
          <w:sz w:val="24"/>
          <w:szCs w:val="24"/>
          <w:lang w:val="pt-PT"/>
        </w:rPr>
        <w:t xml:space="preserve">a </w:t>
      </w:r>
      <w:r w:rsidR="00511219">
        <w:rPr>
          <w:rFonts w:ascii="Times New Roman" w:hAnsi="Times New Roman" w:cs="Times New Roman"/>
          <w:sz w:val="24"/>
          <w:szCs w:val="24"/>
          <w:lang w:val="pt-PT"/>
        </w:rPr>
        <w:t>tem</w:t>
      </w:r>
      <w:r w:rsidR="006D321F">
        <w:rPr>
          <w:rFonts w:ascii="Times New Roman" w:hAnsi="Times New Roman" w:cs="Times New Roman"/>
          <w:sz w:val="24"/>
          <w:szCs w:val="24"/>
          <w:lang w:val="pt-PT"/>
        </w:rPr>
        <w:t xml:space="preserve"> natureza multipartidária e</w:t>
      </w:r>
      <w:r w:rsidR="009D28A5" w:rsidRPr="00DF46AF">
        <w:rPr>
          <w:rFonts w:ascii="Times New Roman" w:hAnsi="Times New Roman" w:cs="Times New Roman"/>
          <w:sz w:val="24"/>
          <w:szCs w:val="24"/>
          <w:lang w:val="pt-PT"/>
        </w:rPr>
        <w:t xml:space="preserve"> en</w:t>
      </w:r>
      <w:r w:rsidR="009D28A5">
        <w:rPr>
          <w:rFonts w:ascii="Times New Roman" w:hAnsi="Times New Roman" w:cs="Times New Roman"/>
          <w:sz w:val="24"/>
          <w:szCs w:val="24"/>
          <w:lang w:val="pt-PT"/>
        </w:rPr>
        <w:t>volve um complexo instrumental político-institucional, isto é, um grande número de instituições, organizações e procedimentos específicos envolvidos na formul</w:t>
      </w:r>
      <w:r w:rsidR="0098547F">
        <w:rPr>
          <w:rFonts w:ascii="Times New Roman" w:hAnsi="Times New Roman" w:cs="Times New Roman"/>
          <w:sz w:val="24"/>
          <w:szCs w:val="24"/>
          <w:lang w:val="pt-PT"/>
        </w:rPr>
        <w:t>ação e modificação de políticas</w:t>
      </w:r>
      <w:r w:rsidR="009D28A5">
        <w:rPr>
          <w:rFonts w:ascii="Times New Roman" w:hAnsi="Times New Roman" w:cs="Times New Roman"/>
          <w:sz w:val="24"/>
          <w:szCs w:val="24"/>
          <w:lang w:val="pt-PT"/>
        </w:rPr>
        <w:t>.</w:t>
      </w:r>
      <w:r w:rsidR="00511219">
        <w:rPr>
          <w:rFonts w:ascii="Times New Roman" w:hAnsi="Times New Roman" w:cs="Times New Roman"/>
          <w:sz w:val="24"/>
          <w:szCs w:val="24"/>
          <w:lang w:val="pt-PT"/>
        </w:rPr>
        <w:t xml:space="preserve"> Segundo, </w:t>
      </w:r>
      <w:r w:rsidR="00F23C6E">
        <w:rPr>
          <w:rFonts w:ascii="Times New Roman" w:hAnsi="Times New Roman" w:cs="Times New Roman"/>
          <w:sz w:val="24"/>
          <w:szCs w:val="24"/>
          <w:lang w:val="pt-PT"/>
        </w:rPr>
        <w:t>eles</w:t>
      </w:r>
      <w:r w:rsidR="00511219">
        <w:rPr>
          <w:rFonts w:ascii="Times New Roman" w:hAnsi="Times New Roman" w:cs="Times New Roman"/>
          <w:sz w:val="24"/>
          <w:szCs w:val="24"/>
          <w:lang w:val="pt-PT"/>
        </w:rPr>
        <w:t xml:space="preserve"> vêem as políticas como “institucionalmente incorporadas”, uma vez que, em geral, são </w:t>
      </w:r>
      <w:r w:rsidR="00230FBB">
        <w:rPr>
          <w:rFonts w:ascii="Times New Roman" w:hAnsi="Times New Roman" w:cs="Times New Roman"/>
          <w:sz w:val="24"/>
          <w:szCs w:val="24"/>
          <w:lang w:val="pt-PT"/>
        </w:rPr>
        <w:t xml:space="preserve">articuladas em nível relativamente alto do governo, mas são executadas por níveis inferiores que </w:t>
      </w:r>
      <w:r>
        <w:rPr>
          <w:rFonts w:ascii="Times New Roman" w:hAnsi="Times New Roman" w:cs="Times New Roman"/>
          <w:sz w:val="24"/>
          <w:szCs w:val="24"/>
          <w:lang w:val="pt-PT"/>
        </w:rPr>
        <w:t>interagem com órgãos privados. Nesse sentido, é</w:t>
      </w:r>
      <w:r w:rsidR="00230FBB">
        <w:rPr>
          <w:rFonts w:ascii="Times New Roman" w:hAnsi="Times New Roman" w:cs="Times New Roman"/>
          <w:sz w:val="24"/>
          <w:szCs w:val="24"/>
          <w:lang w:val="pt-PT"/>
        </w:rPr>
        <w:t xml:space="preserve"> a estrutura administrativa que determina como uma política genericamente articulada será executada.</w:t>
      </w:r>
      <w:r w:rsidR="00FF42AE">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 E t</w:t>
      </w:r>
      <w:r w:rsidR="00FF42AE">
        <w:rPr>
          <w:rFonts w:ascii="Times New Roman" w:hAnsi="Times New Roman" w:cs="Times New Roman"/>
          <w:sz w:val="24"/>
          <w:szCs w:val="24"/>
          <w:lang w:val="pt-PT"/>
        </w:rPr>
        <w:t xml:space="preserve">erceiro, considera-se que os efeitos das políticas e programas governamentais </w:t>
      </w:r>
      <w:r>
        <w:rPr>
          <w:rFonts w:ascii="Times New Roman" w:hAnsi="Times New Roman" w:cs="Times New Roman"/>
          <w:sz w:val="24"/>
          <w:szCs w:val="24"/>
          <w:lang w:val="pt-PT"/>
        </w:rPr>
        <w:t xml:space="preserve">são determinados, em grande parte, por atores privados e não-governamentais. </w:t>
      </w:r>
    </w:p>
    <w:p w:rsidR="00BD3F1E" w:rsidRDefault="00FC6F4A" w:rsidP="006050D1">
      <w:pPr>
        <w:spacing w:line="360" w:lineRule="auto"/>
        <w:rPr>
          <w:rFonts w:ascii="Times New Roman" w:hAnsi="Times New Roman" w:cs="Times New Roman"/>
          <w:b/>
          <w:sz w:val="24"/>
          <w:szCs w:val="24"/>
          <w:lang w:val="pt-PT"/>
        </w:rPr>
      </w:pPr>
      <w:r>
        <w:rPr>
          <w:rFonts w:ascii="Times New Roman" w:hAnsi="Times New Roman" w:cs="Times New Roman"/>
          <w:sz w:val="24"/>
          <w:szCs w:val="24"/>
          <w:lang w:val="pt-PT"/>
        </w:rPr>
        <w:tab/>
      </w:r>
    </w:p>
    <w:p w:rsidR="006F2751" w:rsidRPr="005457BB" w:rsidRDefault="006F2751" w:rsidP="00D367B9">
      <w:pPr>
        <w:pStyle w:val="Ttulo2"/>
      </w:pPr>
      <w:bookmarkStart w:id="3" w:name="_Toc333911333"/>
      <w:r>
        <w:t xml:space="preserve">1.2 </w:t>
      </w:r>
      <w:r w:rsidRPr="005457BB">
        <w:t>Regulação e políticas públicas setoriais: a</w:t>
      </w:r>
      <w:r>
        <w:t xml:space="preserve"> busca da</w:t>
      </w:r>
      <w:r w:rsidRPr="005457BB">
        <w:t xml:space="preserve"> ação </w:t>
      </w:r>
      <w:r>
        <w:t xml:space="preserve">governamental </w:t>
      </w:r>
      <w:r w:rsidRPr="005457BB">
        <w:t>coordenada</w:t>
      </w:r>
      <w:bookmarkEnd w:id="3"/>
    </w:p>
    <w:p w:rsidR="006F2751" w:rsidRPr="00DB3F55" w:rsidRDefault="006F2751" w:rsidP="006F2751">
      <w:pPr>
        <w:spacing w:line="360" w:lineRule="auto"/>
        <w:rPr>
          <w:rFonts w:ascii="Times New Roman" w:hAnsi="Times New Roman" w:cs="Times New Roman"/>
          <w:sz w:val="24"/>
          <w:szCs w:val="24"/>
          <w:lang w:val="pt-PT"/>
        </w:rPr>
      </w:pPr>
    </w:p>
    <w:p w:rsidR="006F2751" w:rsidRDefault="006F2751" w:rsidP="006F2751">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ab/>
        <w:t>Para que o governo possa auxiliar os agentes privados a coordenarem esforços a fim de atingir um equilíbrio de resultado superior, é necessário que a própria ação governamental seja guiada por objetivos comuns. Nesta seção, discute</w:t>
      </w:r>
      <w:r w:rsidR="007C6715">
        <w:rPr>
          <w:rFonts w:ascii="Times New Roman" w:hAnsi="Times New Roman" w:cs="Times New Roman"/>
          <w:sz w:val="24"/>
          <w:szCs w:val="24"/>
          <w:lang w:val="pt-PT"/>
        </w:rPr>
        <w:t>m</w:t>
      </w:r>
      <w:r>
        <w:rPr>
          <w:rFonts w:ascii="Times New Roman" w:hAnsi="Times New Roman" w:cs="Times New Roman"/>
          <w:sz w:val="24"/>
          <w:szCs w:val="24"/>
          <w:lang w:val="pt-PT"/>
        </w:rPr>
        <w:t xml:space="preserve">-se aspectos gerais do processo de formulação de políticas públicas e de sua relação com a regulação. </w:t>
      </w:r>
    </w:p>
    <w:p w:rsidR="006F2751" w:rsidRPr="00D82223" w:rsidRDefault="006F2751" w:rsidP="006F2751">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 </w:t>
      </w:r>
      <w:r w:rsidRPr="00D82223">
        <w:rPr>
          <w:rFonts w:ascii="Times New Roman" w:hAnsi="Times New Roman" w:cs="Times New Roman"/>
          <w:sz w:val="24"/>
          <w:szCs w:val="24"/>
          <w:lang w:val="pt-PT"/>
        </w:rPr>
        <w:t>A regulação pode ser vista como parte de uma complexa rede de políticas públicas de um país</w:t>
      </w:r>
      <w:r>
        <w:rPr>
          <w:rFonts w:ascii="Times New Roman" w:hAnsi="Times New Roman" w:cs="Times New Roman"/>
          <w:sz w:val="24"/>
          <w:szCs w:val="24"/>
          <w:lang w:val="pt-PT"/>
        </w:rPr>
        <w:t xml:space="preserve"> (SPILLER; </w:t>
      </w:r>
      <w:r w:rsidRPr="00D82223">
        <w:rPr>
          <w:rFonts w:ascii="Times New Roman" w:hAnsi="Times New Roman" w:cs="Times New Roman"/>
          <w:sz w:val="24"/>
          <w:szCs w:val="24"/>
          <w:lang w:val="pt-PT"/>
        </w:rPr>
        <w:t>TOMMASI, 2005). Conjuntamente à formulação de políticas públicas e ao planejamento, a regulação de mercado constitui mecanismo do qual o governo dispõe para gerir setores estratégicos para a economia, como é o caso do set</w:t>
      </w:r>
      <w:r>
        <w:rPr>
          <w:rFonts w:ascii="Times New Roman" w:hAnsi="Times New Roman" w:cs="Times New Roman"/>
          <w:sz w:val="24"/>
          <w:szCs w:val="24"/>
          <w:lang w:val="pt-PT"/>
        </w:rPr>
        <w:t>or energético</w:t>
      </w:r>
      <w:r w:rsidRPr="00D82223">
        <w:rPr>
          <w:rFonts w:ascii="Times New Roman" w:hAnsi="Times New Roman" w:cs="Times New Roman"/>
          <w:sz w:val="24"/>
          <w:szCs w:val="24"/>
          <w:lang w:val="pt-PT"/>
        </w:rPr>
        <w:t>.</w:t>
      </w:r>
      <w:r>
        <w:rPr>
          <w:rFonts w:ascii="Times New Roman" w:hAnsi="Times New Roman" w:cs="Times New Roman"/>
          <w:sz w:val="24"/>
          <w:szCs w:val="24"/>
          <w:lang w:val="pt-PT"/>
        </w:rPr>
        <w:t xml:space="preserve"> U</w:t>
      </w:r>
      <w:r w:rsidRPr="00D82223">
        <w:rPr>
          <w:rFonts w:ascii="Times New Roman" w:hAnsi="Times New Roman" w:cs="Times New Roman"/>
          <w:sz w:val="24"/>
          <w:szCs w:val="24"/>
          <w:lang w:val="pt-PT"/>
        </w:rPr>
        <w:t>ma atuação governamental eficaz resulta da utilização desses instrumentos de forma autônoma, porém complementar, fazendo com que a regulação seja, portanto, apenas uma das formas que assume a intervenção do Estado nos mercados de energia</w:t>
      </w:r>
      <w:r>
        <w:rPr>
          <w:rFonts w:ascii="Times New Roman" w:hAnsi="Times New Roman" w:cs="Times New Roman"/>
          <w:sz w:val="24"/>
          <w:szCs w:val="24"/>
          <w:lang w:val="pt-PT"/>
        </w:rPr>
        <w:t xml:space="preserve"> (BAJAY; </w:t>
      </w:r>
      <w:r w:rsidRPr="00D82223">
        <w:rPr>
          <w:rFonts w:ascii="Times New Roman" w:hAnsi="Times New Roman" w:cs="Times New Roman"/>
          <w:sz w:val="24"/>
          <w:szCs w:val="24"/>
          <w:lang w:val="pt-PT"/>
        </w:rPr>
        <w:t xml:space="preserve">BADANHAN, 2004). </w:t>
      </w:r>
    </w:p>
    <w:p w:rsidR="006F2751" w:rsidRPr="00D82223" w:rsidRDefault="006F2751" w:rsidP="006F2751">
      <w:pPr>
        <w:spacing w:line="360" w:lineRule="auto"/>
        <w:ind w:firstLine="708"/>
        <w:rPr>
          <w:rFonts w:ascii="Times New Roman" w:hAnsi="Times New Roman" w:cs="Times New Roman"/>
          <w:sz w:val="24"/>
          <w:szCs w:val="24"/>
          <w:lang w:val="pt-PT"/>
        </w:rPr>
      </w:pPr>
      <w:r w:rsidRPr="00D82223">
        <w:rPr>
          <w:rFonts w:ascii="Times New Roman" w:hAnsi="Times New Roman" w:cs="Times New Roman"/>
          <w:sz w:val="24"/>
          <w:szCs w:val="24"/>
          <w:lang w:val="pt-PT"/>
        </w:rPr>
        <w:t>As políticas públicas</w:t>
      </w:r>
      <w:r>
        <w:rPr>
          <w:rFonts w:ascii="Times New Roman" w:hAnsi="Times New Roman" w:cs="Times New Roman"/>
          <w:sz w:val="24"/>
          <w:szCs w:val="24"/>
          <w:lang w:val="pt-PT"/>
        </w:rPr>
        <w:t>, por sua vez,</w:t>
      </w:r>
      <w:r w:rsidRPr="00D82223">
        <w:rPr>
          <w:rFonts w:ascii="Times New Roman" w:hAnsi="Times New Roman" w:cs="Times New Roman"/>
          <w:sz w:val="24"/>
          <w:szCs w:val="24"/>
          <w:lang w:val="pt-PT"/>
        </w:rPr>
        <w:t xml:space="preserve"> podem fazer uso de incentivos financeiros (fiscais, creditícios ou tarifários) ou podem ter uma aplicação compulsória, por meio de leis, decretos, </w:t>
      </w:r>
      <w:r w:rsidRPr="00D82223">
        <w:rPr>
          <w:rFonts w:ascii="Times New Roman" w:hAnsi="Times New Roman" w:cs="Times New Roman"/>
          <w:sz w:val="24"/>
          <w:szCs w:val="24"/>
          <w:lang w:val="pt-PT"/>
        </w:rPr>
        <w:lastRenderedPageBreak/>
        <w:t xml:space="preserve">portarias ou resoluções de órgãos governamentais. Em tese, elas são um reflexo das prioridades e diretrizes que devem governar o desenvolvimento do setor em questão (BAJAY, 1989), diretrizes estas que, em geral, são compartilhadas por um planejamento setorial de longo prazo. </w:t>
      </w:r>
      <w:r w:rsidR="001C09D9">
        <w:rPr>
          <w:rFonts w:ascii="Times New Roman" w:hAnsi="Times New Roman" w:cs="Times New Roman"/>
          <w:sz w:val="24"/>
          <w:szCs w:val="24"/>
          <w:lang w:val="pt-PT"/>
        </w:rPr>
        <w:t>Um exemplo de como instrumentos devem estar coordenados é explorado no</w:t>
      </w:r>
      <w:r w:rsidRPr="00371F97">
        <w:rPr>
          <w:rFonts w:ascii="Times New Roman" w:hAnsi="Times New Roman" w:cs="Times New Roman"/>
          <w:sz w:val="24"/>
          <w:szCs w:val="24"/>
          <w:lang w:val="pt-PT"/>
        </w:rPr>
        <w:t xml:space="preserve"> trabalho de Jamasb e Pollitt</w:t>
      </w:r>
      <w:r w:rsidR="001C09D9">
        <w:rPr>
          <w:rFonts w:ascii="Times New Roman" w:hAnsi="Times New Roman" w:cs="Times New Roman"/>
          <w:sz w:val="24"/>
          <w:szCs w:val="24"/>
          <w:lang w:val="pt-PT"/>
        </w:rPr>
        <w:t xml:space="preserve"> (2008) por meio d</w:t>
      </w:r>
      <w:r>
        <w:rPr>
          <w:rFonts w:ascii="Times New Roman" w:hAnsi="Times New Roman" w:cs="Times New Roman"/>
          <w:sz w:val="24"/>
          <w:szCs w:val="24"/>
          <w:lang w:val="pt-PT"/>
        </w:rPr>
        <w:t>a relação entre a segurança de abastecimento de en</w:t>
      </w:r>
      <w:r w:rsidR="001C09D9">
        <w:rPr>
          <w:rFonts w:ascii="Times New Roman" w:hAnsi="Times New Roman" w:cs="Times New Roman"/>
          <w:sz w:val="24"/>
          <w:szCs w:val="24"/>
          <w:lang w:val="pt-PT"/>
        </w:rPr>
        <w:t>ergia e a regulação das</w:t>
      </w:r>
      <w:r>
        <w:rPr>
          <w:rFonts w:ascii="Times New Roman" w:hAnsi="Times New Roman" w:cs="Times New Roman"/>
          <w:sz w:val="24"/>
          <w:szCs w:val="24"/>
          <w:lang w:val="pt-PT"/>
        </w:rPr>
        <w:t xml:space="preserve"> redes de transmissão de energia elétrica, enfatizando </w:t>
      </w:r>
      <w:r w:rsidR="001C09D9">
        <w:rPr>
          <w:rFonts w:ascii="Times New Roman" w:hAnsi="Times New Roman" w:cs="Times New Roman"/>
          <w:sz w:val="24"/>
          <w:szCs w:val="24"/>
          <w:lang w:val="pt-PT"/>
        </w:rPr>
        <w:t>qu</w:t>
      </w:r>
      <w:r>
        <w:rPr>
          <w:rFonts w:ascii="Times New Roman" w:hAnsi="Times New Roman" w:cs="Times New Roman"/>
          <w:sz w:val="24"/>
          <w:szCs w:val="24"/>
          <w:lang w:val="pt-PT"/>
        </w:rPr>
        <w:t>e a regulação tem papel de extrema relevância no atendimento dos objetivos de política energética, onde predomina a segurança energética atualmente.</w:t>
      </w:r>
    </w:p>
    <w:p w:rsidR="006F2751" w:rsidRDefault="001C09D9" w:rsidP="006F2751">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Essa</w:t>
      </w:r>
      <w:r w:rsidR="006F2751" w:rsidRPr="00D82223">
        <w:rPr>
          <w:rFonts w:ascii="Times New Roman" w:hAnsi="Times New Roman" w:cs="Times New Roman"/>
          <w:sz w:val="24"/>
          <w:szCs w:val="24"/>
          <w:lang w:val="pt-PT"/>
        </w:rPr>
        <w:t xml:space="preserve"> relação entre </w:t>
      </w:r>
      <w:r>
        <w:rPr>
          <w:rFonts w:ascii="Times New Roman" w:hAnsi="Times New Roman" w:cs="Times New Roman"/>
          <w:sz w:val="24"/>
          <w:szCs w:val="24"/>
          <w:lang w:val="pt-PT"/>
        </w:rPr>
        <w:t xml:space="preserve">a </w:t>
      </w:r>
      <w:r w:rsidR="006F2751" w:rsidRPr="00D82223">
        <w:rPr>
          <w:rFonts w:ascii="Times New Roman" w:hAnsi="Times New Roman" w:cs="Times New Roman"/>
          <w:sz w:val="24"/>
          <w:szCs w:val="24"/>
          <w:lang w:val="pt-PT"/>
        </w:rPr>
        <w:t xml:space="preserve">regulação e </w:t>
      </w:r>
      <w:r>
        <w:rPr>
          <w:rFonts w:ascii="Times New Roman" w:hAnsi="Times New Roman" w:cs="Times New Roman"/>
          <w:sz w:val="24"/>
          <w:szCs w:val="24"/>
          <w:lang w:val="pt-PT"/>
        </w:rPr>
        <w:t xml:space="preserve">as </w:t>
      </w:r>
      <w:r w:rsidR="006F2751" w:rsidRPr="00D82223">
        <w:rPr>
          <w:rFonts w:ascii="Times New Roman" w:hAnsi="Times New Roman" w:cs="Times New Roman"/>
          <w:sz w:val="24"/>
          <w:szCs w:val="24"/>
          <w:lang w:val="pt-PT"/>
        </w:rPr>
        <w:t>políticas públicas é tão estreita que Spiller e Tommasi (</w:t>
      </w:r>
      <w:r w:rsidR="006F2751">
        <w:rPr>
          <w:rFonts w:ascii="Times New Roman" w:hAnsi="Times New Roman" w:cs="Times New Roman"/>
          <w:sz w:val="24"/>
          <w:szCs w:val="24"/>
          <w:lang w:val="pt-PT"/>
        </w:rPr>
        <w:t>2005</w:t>
      </w:r>
      <w:r w:rsidR="006F2751" w:rsidRPr="00A47FBC">
        <w:rPr>
          <w:rFonts w:ascii="Times New Roman" w:hAnsi="Times New Roman" w:cs="Times New Roman"/>
          <w:sz w:val="24"/>
          <w:szCs w:val="24"/>
          <w:lang w:val="pt-PT"/>
        </w:rPr>
        <w:t>)</w:t>
      </w:r>
      <w:r w:rsidR="00277B5C">
        <w:rPr>
          <w:rFonts w:ascii="Times New Roman" w:hAnsi="Times New Roman" w:cs="Times New Roman"/>
          <w:sz w:val="24"/>
          <w:szCs w:val="24"/>
          <w:lang w:val="pt-PT"/>
        </w:rPr>
        <w:t xml:space="preserve"> chegam a</w:t>
      </w:r>
      <w:r w:rsidR="006F2751" w:rsidRPr="00D82223">
        <w:rPr>
          <w:rFonts w:ascii="Times New Roman" w:hAnsi="Times New Roman" w:cs="Times New Roman"/>
          <w:sz w:val="24"/>
          <w:szCs w:val="24"/>
          <w:lang w:val="pt-PT"/>
        </w:rPr>
        <w:t xml:space="preserve"> a</w:t>
      </w:r>
      <w:r w:rsidR="00277B5C">
        <w:rPr>
          <w:rFonts w:ascii="Times New Roman" w:hAnsi="Times New Roman" w:cs="Times New Roman"/>
          <w:sz w:val="24"/>
          <w:szCs w:val="24"/>
          <w:lang w:val="pt-PT"/>
        </w:rPr>
        <w:t>firmar</w:t>
      </w:r>
      <w:r w:rsidR="006F2751" w:rsidRPr="00D82223">
        <w:rPr>
          <w:rFonts w:ascii="Times New Roman" w:hAnsi="Times New Roman" w:cs="Times New Roman"/>
          <w:sz w:val="24"/>
          <w:szCs w:val="24"/>
          <w:lang w:val="pt-PT"/>
        </w:rPr>
        <w:t xml:space="preserve"> que para ent</w:t>
      </w:r>
      <w:r w:rsidR="006F2751">
        <w:rPr>
          <w:rFonts w:ascii="Times New Roman" w:hAnsi="Times New Roman" w:cs="Times New Roman"/>
          <w:sz w:val="24"/>
          <w:szCs w:val="24"/>
          <w:lang w:val="pt-PT"/>
        </w:rPr>
        <w:t>endermos o desenho regulatório</w:t>
      </w:r>
      <w:r w:rsidR="006F2751" w:rsidRPr="00D82223">
        <w:rPr>
          <w:rFonts w:ascii="Times New Roman" w:hAnsi="Times New Roman" w:cs="Times New Roman"/>
          <w:sz w:val="24"/>
          <w:szCs w:val="24"/>
          <w:lang w:val="pt-PT"/>
        </w:rPr>
        <w:t xml:space="preserve"> é necessário entendermos os determinantes das políticas públicas. Para esses autores, os determinantes das políticas públicas incluem um vasto número de instituições – as regras do jogo político – que influe</w:t>
      </w:r>
      <w:r w:rsidR="00277B5C">
        <w:rPr>
          <w:rFonts w:ascii="Times New Roman" w:hAnsi="Times New Roman" w:cs="Times New Roman"/>
          <w:sz w:val="24"/>
          <w:szCs w:val="24"/>
          <w:lang w:val="pt-PT"/>
        </w:rPr>
        <w:t>nciam os tipos de contratos. Com base n</w:t>
      </w:r>
      <w:r w:rsidR="006F2751" w:rsidRPr="00D82223">
        <w:rPr>
          <w:rFonts w:ascii="Times New Roman" w:hAnsi="Times New Roman" w:cs="Times New Roman"/>
          <w:sz w:val="24"/>
          <w:szCs w:val="24"/>
          <w:lang w:val="pt-PT"/>
        </w:rPr>
        <w:t xml:space="preserve">a Teoria dos Custos de Transação, </w:t>
      </w:r>
      <w:r w:rsidR="00277B5C">
        <w:rPr>
          <w:rFonts w:ascii="Times New Roman" w:hAnsi="Times New Roman" w:cs="Times New Roman"/>
          <w:sz w:val="24"/>
          <w:szCs w:val="24"/>
          <w:lang w:val="pt-PT"/>
        </w:rPr>
        <w:t>eles</w:t>
      </w:r>
      <w:r w:rsidR="006F2751" w:rsidRPr="00D82223">
        <w:rPr>
          <w:rFonts w:ascii="Times New Roman" w:hAnsi="Times New Roman" w:cs="Times New Roman"/>
          <w:sz w:val="24"/>
          <w:szCs w:val="24"/>
          <w:lang w:val="pt-PT"/>
        </w:rPr>
        <w:t xml:space="preserve"> analisam os determinantes das políticas públicas (e da regulação por consequência). </w:t>
      </w:r>
    </w:p>
    <w:p w:rsidR="006F2751" w:rsidRDefault="006F2751" w:rsidP="006F2751">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Sob essa perspectiva, a regulação seria o</w:t>
      </w:r>
      <w:r w:rsidRPr="00D82223">
        <w:rPr>
          <w:rFonts w:ascii="Times New Roman" w:hAnsi="Times New Roman" w:cs="Times New Roman"/>
          <w:sz w:val="24"/>
          <w:szCs w:val="24"/>
          <w:lang w:val="pt-PT"/>
        </w:rPr>
        <w:t xml:space="preserve"> resultado de trocas intertemporais complexas entre formuladores de políticas</w:t>
      </w:r>
      <w:r>
        <w:rPr>
          <w:rFonts w:ascii="Times New Roman" w:hAnsi="Times New Roman" w:cs="Times New Roman"/>
          <w:sz w:val="24"/>
          <w:szCs w:val="24"/>
          <w:lang w:val="pt-PT"/>
        </w:rPr>
        <w:t>.</w:t>
      </w:r>
      <w:r w:rsidRPr="00D82223">
        <w:rPr>
          <w:rFonts w:ascii="Times New Roman" w:hAnsi="Times New Roman" w:cs="Times New Roman"/>
          <w:sz w:val="24"/>
          <w:szCs w:val="24"/>
          <w:lang w:val="pt-PT"/>
        </w:rPr>
        <w:t xml:space="preserve"> </w:t>
      </w:r>
      <w:r>
        <w:rPr>
          <w:rFonts w:ascii="Times New Roman" w:hAnsi="Times New Roman" w:cs="Times New Roman"/>
          <w:sz w:val="24"/>
          <w:szCs w:val="24"/>
          <w:lang w:val="pt-PT"/>
        </w:rPr>
        <w:t>C</w:t>
      </w:r>
      <w:r w:rsidRPr="00D82223">
        <w:rPr>
          <w:rFonts w:ascii="Times New Roman" w:hAnsi="Times New Roman" w:cs="Times New Roman"/>
          <w:sz w:val="24"/>
          <w:szCs w:val="24"/>
          <w:lang w:val="pt-PT"/>
        </w:rPr>
        <w:t>omo ocorre com as transações econômicas, para que trocas intertemporais ocorram de forma eficiente, instituições de salvaguarda são necessárias. Na ausência de tais instituições</w:t>
      </w:r>
      <w:r>
        <w:rPr>
          <w:rFonts w:ascii="Times New Roman" w:hAnsi="Times New Roman" w:cs="Times New Roman"/>
          <w:sz w:val="24"/>
          <w:szCs w:val="24"/>
          <w:lang w:val="pt-PT"/>
        </w:rPr>
        <w:t>,</w:t>
      </w:r>
      <w:r w:rsidRPr="00D82223">
        <w:rPr>
          <w:rFonts w:ascii="Times New Roman" w:hAnsi="Times New Roman" w:cs="Times New Roman"/>
          <w:sz w:val="24"/>
          <w:szCs w:val="24"/>
          <w:lang w:val="pt-PT"/>
        </w:rPr>
        <w:t xml:space="preserve"> predominará o comportamento não-cooperativo, com v</w:t>
      </w:r>
      <w:r>
        <w:rPr>
          <w:rFonts w:ascii="Times New Roman" w:hAnsi="Times New Roman" w:cs="Times New Roman"/>
          <w:sz w:val="24"/>
          <w:szCs w:val="24"/>
          <w:lang w:val="pt-PT"/>
        </w:rPr>
        <w:t xml:space="preserve">istas ao ganho de curto prazo (SPILLER; </w:t>
      </w:r>
      <w:r w:rsidRPr="00D82223">
        <w:rPr>
          <w:rFonts w:ascii="Times New Roman" w:hAnsi="Times New Roman" w:cs="Times New Roman"/>
          <w:sz w:val="24"/>
          <w:szCs w:val="24"/>
          <w:lang w:val="pt-PT"/>
        </w:rPr>
        <w:t xml:space="preserve">TOMMASI, </w:t>
      </w:r>
      <w:r>
        <w:rPr>
          <w:rFonts w:ascii="Times New Roman" w:hAnsi="Times New Roman" w:cs="Times New Roman"/>
          <w:sz w:val="24"/>
          <w:szCs w:val="24"/>
          <w:lang w:val="pt-PT"/>
        </w:rPr>
        <w:t>2005</w:t>
      </w:r>
      <w:r w:rsidRPr="00A47FBC">
        <w:rPr>
          <w:rFonts w:ascii="Times New Roman" w:hAnsi="Times New Roman" w:cs="Times New Roman"/>
          <w:sz w:val="24"/>
          <w:szCs w:val="24"/>
          <w:lang w:val="pt-PT"/>
        </w:rPr>
        <w:t>).</w:t>
      </w:r>
      <w:r>
        <w:rPr>
          <w:rFonts w:ascii="Times New Roman" w:hAnsi="Times New Roman" w:cs="Times New Roman"/>
          <w:sz w:val="24"/>
          <w:szCs w:val="24"/>
          <w:lang w:val="pt-PT"/>
        </w:rPr>
        <w:t xml:space="preserve"> </w:t>
      </w:r>
    </w:p>
    <w:p w:rsidR="006F2751" w:rsidRDefault="006F2751" w:rsidP="006F2751">
      <w:pPr>
        <w:spacing w:line="360" w:lineRule="auto"/>
        <w:ind w:firstLine="708"/>
        <w:rPr>
          <w:rFonts w:ascii="Times New Roman" w:hAnsi="Times New Roman" w:cs="Times New Roman"/>
          <w:sz w:val="24"/>
          <w:szCs w:val="24"/>
          <w:lang w:val="pt-PT"/>
        </w:rPr>
      </w:pPr>
      <w:r w:rsidRPr="00D82223">
        <w:rPr>
          <w:rFonts w:ascii="Times New Roman" w:hAnsi="Times New Roman" w:cs="Times New Roman"/>
          <w:sz w:val="24"/>
          <w:szCs w:val="24"/>
          <w:lang w:val="pt-PT"/>
        </w:rPr>
        <w:t>A preocupação central de Spiller e Tommasi</w:t>
      </w:r>
      <w:r>
        <w:rPr>
          <w:rFonts w:ascii="Times New Roman" w:hAnsi="Times New Roman" w:cs="Times New Roman"/>
          <w:sz w:val="24"/>
          <w:szCs w:val="24"/>
          <w:lang w:val="pt-PT"/>
        </w:rPr>
        <w:t xml:space="preserve"> (2005)</w:t>
      </w:r>
      <w:r w:rsidRPr="00D82223">
        <w:rPr>
          <w:rFonts w:ascii="Times New Roman" w:hAnsi="Times New Roman" w:cs="Times New Roman"/>
          <w:sz w:val="24"/>
          <w:szCs w:val="24"/>
          <w:lang w:val="pt-PT"/>
        </w:rPr>
        <w:t xml:space="preserve"> recai </w:t>
      </w:r>
      <w:r>
        <w:rPr>
          <w:rFonts w:ascii="Times New Roman" w:hAnsi="Times New Roman" w:cs="Times New Roman"/>
          <w:sz w:val="24"/>
          <w:szCs w:val="24"/>
          <w:lang w:val="pt-PT"/>
        </w:rPr>
        <w:t xml:space="preserve">sobre a governança regulatória e </w:t>
      </w:r>
      <w:r w:rsidRPr="00D82223">
        <w:rPr>
          <w:rFonts w:ascii="Times New Roman" w:hAnsi="Times New Roman" w:cs="Times New Roman"/>
          <w:sz w:val="24"/>
          <w:szCs w:val="24"/>
          <w:lang w:val="pt-PT"/>
        </w:rPr>
        <w:t>os arranjos institucionais que permitem incentivar o investimento privado de forma eficiente,</w:t>
      </w:r>
      <w:r w:rsidR="00277B5C">
        <w:rPr>
          <w:rFonts w:ascii="Times New Roman" w:hAnsi="Times New Roman" w:cs="Times New Roman"/>
          <w:sz w:val="24"/>
          <w:szCs w:val="24"/>
          <w:lang w:val="pt-PT"/>
        </w:rPr>
        <w:t xml:space="preserve"> e ao mesmo tempo prover os mecanismos</w:t>
      </w:r>
      <w:r w:rsidRPr="00D82223">
        <w:rPr>
          <w:rFonts w:ascii="Times New Roman" w:hAnsi="Times New Roman" w:cs="Times New Roman"/>
          <w:sz w:val="24"/>
          <w:szCs w:val="24"/>
          <w:lang w:val="pt-PT"/>
        </w:rPr>
        <w:t xml:space="preserve"> de salvaguarda con</w:t>
      </w:r>
      <w:r>
        <w:rPr>
          <w:rFonts w:ascii="Times New Roman" w:hAnsi="Times New Roman" w:cs="Times New Roman"/>
          <w:sz w:val="24"/>
          <w:szCs w:val="24"/>
          <w:lang w:val="pt-PT"/>
        </w:rPr>
        <w:t>tra o oportunismo governamental</w:t>
      </w:r>
      <w:r w:rsidRPr="00D82223">
        <w:rPr>
          <w:rFonts w:ascii="Times New Roman" w:hAnsi="Times New Roman" w:cs="Times New Roman"/>
          <w:sz w:val="24"/>
          <w:szCs w:val="24"/>
          <w:lang w:val="pt-PT"/>
        </w:rPr>
        <w:t xml:space="preserve"> nas situações em que ele possa se manifestar. Em outras palavras, </w:t>
      </w:r>
      <w:r>
        <w:rPr>
          <w:rFonts w:ascii="Times New Roman" w:hAnsi="Times New Roman" w:cs="Times New Roman"/>
          <w:sz w:val="24"/>
          <w:szCs w:val="24"/>
          <w:lang w:val="pt-PT"/>
        </w:rPr>
        <w:t>um dos</w:t>
      </w:r>
      <w:r w:rsidRPr="00D82223">
        <w:rPr>
          <w:rFonts w:ascii="Times New Roman" w:hAnsi="Times New Roman" w:cs="Times New Roman"/>
          <w:sz w:val="24"/>
          <w:szCs w:val="24"/>
          <w:lang w:val="pt-PT"/>
        </w:rPr>
        <w:t xml:space="preserve"> </w:t>
      </w:r>
      <w:r>
        <w:rPr>
          <w:rFonts w:ascii="Times New Roman" w:hAnsi="Times New Roman" w:cs="Times New Roman"/>
          <w:sz w:val="24"/>
          <w:szCs w:val="24"/>
          <w:lang w:val="pt-PT"/>
        </w:rPr>
        <w:t>principais desafios enfrentados pelo órgão</w:t>
      </w:r>
      <w:r w:rsidRPr="00D82223">
        <w:rPr>
          <w:rFonts w:ascii="Times New Roman" w:hAnsi="Times New Roman" w:cs="Times New Roman"/>
          <w:sz w:val="24"/>
          <w:szCs w:val="24"/>
          <w:lang w:val="pt-PT"/>
        </w:rPr>
        <w:t xml:space="preserve"> regulador é o de conciliar interesses: de um lado a manutenção do lucro, para que o investidor privado tenha incentivos para continuar investindo, e de outro, a garantia de fornecimento do serviço a preços controlados para o consumidor. A flexibilidade permite que esse equílibrio seja constantemente ajustado, porém requer uma “dotação institucional” da qual nem todos os países dispõem. </w:t>
      </w:r>
    </w:p>
    <w:p w:rsidR="006F2751" w:rsidRDefault="00277B5C" w:rsidP="006F2751">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Nessa mesma direção</w:t>
      </w:r>
      <w:r w:rsidR="006F2751">
        <w:rPr>
          <w:rFonts w:ascii="Times New Roman" w:hAnsi="Times New Roman" w:cs="Times New Roman"/>
          <w:sz w:val="24"/>
          <w:szCs w:val="24"/>
          <w:lang w:val="pt-PT"/>
        </w:rPr>
        <w:t>, o</w:t>
      </w:r>
      <w:r w:rsidR="006F2751" w:rsidRPr="006C2974">
        <w:rPr>
          <w:rFonts w:ascii="Times New Roman" w:hAnsi="Times New Roman" w:cs="Times New Roman"/>
          <w:sz w:val="24"/>
          <w:szCs w:val="24"/>
          <w:lang w:val="pt-PT"/>
        </w:rPr>
        <w:t xml:space="preserve"> argumento central de Levy e Spiller (1994) é que a credibilidade e a eficácia de uma dada estrutura regulatória e, consequentemente, sua habilidade de fomentar o investimento privado, varia de acordo com as instituições sociais e políticas de cada país.</w:t>
      </w:r>
      <w:r w:rsidR="006F2751">
        <w:rPr>
          <w:rFonts w:ascii="Times New Roman" w:hAnsi="Times New Roman" w:cs="Times New Roman"/>
          <w:sz w:val="24"/>
          <w:szCs w:val="24"/>
          <w:lang w:val="pt-PT"/>
        </w:rPr>
        <w:t xml:space="preserve"> Os autores argumentam que o desempenho pode se mostrar satisfatório sob diversos arranjos regulatórios, desde que sejam observados mecanismos capazes de restrinigir a ação administrativa arbitrária</w:t>
      </w:r>
      <w:r w:rsidR="00AE2AE3">
        <w:rPr>
          <w:rFonts w:ascii="Times New Roman" w:hAnsi="Times New Roman" w:cs="Times New Roman"/>
          <w:sz w:val="24"/>
          <w:szCs w:val="24"/>
          <w:lang w:val="pt-PT"/>
        </w:rPr>
        <w:t>, tais como</w:t>
      </w:r>
      <w:r w:rsidR="006F2751">
        <w:rPr>
          <w:rFonts w:ascii="Times New Roman" w:hAnsi="Times New Roman" w:cs="Times New Roman"/>
          <w:sz w:val="24"/>
          <w:szCs w:val="24"/>
          <w:lang w:val="pt-PT"/>
        </w:rPr>
        <w:t xml:space="preserve">: a) restrições substantivas à </w:t>
      </w:r>
      <w:r w:rsidR="006F2751">
        <w:rPr>
          <w:rFonts w:ascii="Times New Roman" w:hAnsi="Times New Roman" w:cs="Times New Roman"/>
          <w:sz w:val="24"/>
          <w:szCs w:val="24"/>
          <w:lang w:val="pt-PT"/>
        </w:rPr>
        <w:lastRenderedPageBreak/>
        <w:t>discricionariedade do regulador; b) restrições formais e informais sobre mudanças no sistema regulatório; e c) instituições que assegurem (</w:t>
      </w:r>
      <w:r w:rsidR="006F2751" w:rsidRPr="007E5B68">
        <w:rPr>
          <w:rFonts w:ascii="Times New Roman" w:hAnsi="Times New Roman" w:cs="Times New Roman"/>
          <w:i/>
          <w:sz w:val="24"/>
          <w:szCs w:val="24"/>
          <w:lang w:val="pt-PT"/>
        </w:rPr>
        <w:t>enforce</w:t>
      </w:r>
      <w:r w:rsidR="006F2751">
        <w:rPr>
          <w:rFonts w:ascii="Times New Roman" w:hAnsi="Times New Roman" w:cs="Times New Roman"/>
          <w:sz w:val="24"/>
          <w:szCs w:val="24"/>
          <w:lang w:val="pt-PT"/>
        </w:rPr>
        <w:t>) as restrições formais.</w:t>
      </w:r>
    </w:p>
    <w:p w:rsidR="006F2751" w:rsidRDefault="006F2751" w:rsidP="006F2751">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É preciso ressaltar, contudo, que uma interpretação estrita da abordagem de Levy e Spiller (1994) pode nos conduzir a uma espécie de engessamento da atividade regulatória, baseada no argumento de que as regras do jogo devem ser estáveis e previsíveis. O tema </w:t>
      </w:r>
      <w:r w:rsidR="00DE534B">
        <w:rPr>
          <w:rFonts w:ascii="Times New Roman" w:hAnsi="Times New Roman" w:cs="Times New Roman"/>
          <w:sz w:val="24"/>
          <w:szCs w:val="24"/>
          <w:lang w:val="pt-PT"/>
        </w:rPr>
        <w:t>deste trabalho vem</w:t>
      </w:r>
      <w:r>
        <w:rPr>
          <w:rFonts w:ascii="Times New Roman" w:hAnsi="Times New Roman" w:cs="Times New Roman"/>
          <w:sz w:val="24"/>
          <w:szCs w:val="24"/>
          <w:lang w:val="pt-PT"/>
        </w:rPr>
        <w:t xml:space="preserve"> questionar tal argumento</w:t>
      </w:r>
      <w:r w:rsidR="00224848">
        <w:rPr>
          <w:rFonts w:ascii="Times New Roman" w:hAnsi="Times New Roman" w:cs="Times New Roman"/>
          <w:sz w:val="24"/>
          <w:szCs w:val="24"/>
          <w:lang w:val="pt-PT"/>
        </w:rPr>
        <w:t xml:space="preserve">, </w:t>
      </w:r>
      <w:r w:rsidR="00942965">
        <w:rPr>
          <w:rFonts w:ascii="Times New Roman" w:hAnsi="Times New Roman" w:cs="Times New Roman"/>
          <w:sz w:val="24"/>
          <w:szCs w:val="24"/>
          <w:lang w:val="pt-PT"/>
        </w:rPr>
        <w:t>introduzindo</w:t>
      </w:r>
      <w:r w:rsidR="00224848">
        <w:rPr>
          <w:rFonts w:ascii="Times New Roman" w:hAnsi="Times New Roman" w:cs="Times New Roman"/>
          <w:sz w:val="24"/>
          <w:szCs w:val="24"/>
          <w:lang w:val="pt-PT"/>
        </w:rPr>
        <w:t xml:space="preserve"> o conceito</w:t>
      </w:r>
      <w:r>
        <w:rPr>
          <w:rFonts w:ascii="Times New Roman" w:hAnsi="Times New Roman" w:cs="Times New Roman"/>
          <w:sz w:val="24"/>
          <w:szCs w:val="24"/>
          <w:lang w:val="pt-PT"/>
        </w:rPr>
        <w:t xml:space="preserve"> de </w:t>
      </w:r>
      <w:r w:rsidRPr="00942965">
        <w:rPr>
          <w:rFonts w:ascii="Times New Roman" w:hAnsi="Times New Roman" w:cs="Times New Roman"/>
          <w:sz w:val="24"/>
          <w:szCs w:val="24"/>
          <w:lang w:val="pt-PT"/>
        </w:rPr>
        <w:t>adaptação regulatória</w:t>
      </w:r>
      <w:r w:rsidR="00224848">
        <w:rPr>
          <w:rFonts w:ascii="Times New Roman" w:hAnsi="Times New Roman" w:cs="Times New Roman"/>
          <w:sz w:val="24"/>
          <w:szCs w:val="24"/>
          <w:lang w:val="pt-PT"/>
        </w:rPr>
        <w:t xml:space="preserve">, </w:t>
      </w:r>
      <w:r w:rsidR="00F56EE9">
        <w:rPr>
          <w:rFonts w:ascii="Times New Roman" w:hAnsi="Times New Roman" w:cs="Times New Roman"/>
          <w:sz w:val="24"/>
          <w:szCs w:val="24"/>
          <w:lang w:val="pt-PT"/>
        </w:rPr>
        <w:t>como será visto</w:t>
      </w:r>
      <w:r w:rsidR="00224848">
        <w:rPr>
          <w:rFonts w:ascii="Times New Roman" w:hAnsi="Times New Roman" w:cs="Times New Roman"/>
          <w:sz w:val="24"/>
          <w:szCs w:val="24"/>
          <w:lang w:val="pt-PT"/>
        </w:rPr>
        <w:t xml:space="preserve"> adiante. Um dos elementos que torna necessária a adaptação de normas e regras impostas pela regulação é justamente a dinâmica de inovação no setor regulado, tema que é discutido na próxima seção.</w:t>
      </w:r>
    </w:p>
    <w:p w:rsidR="006F2751" w:rsidRDefault="006F2751" w:rsidP="00622A43">
      <w:pPr>
        <w:pStyle w:val="Ttulo1"/>
        <w:rPr>
          <w:lang w:val="pt-PT"/>
        </w:rPr>
      </w:pPr>
    </w:p>
    <w:p w:rsidR="00275052" w:rsidRPr="00D367B9" w:rsidRDefault="00275052" w:rsidP="00D367B9">
      <w:pPr>
        <w:pStyle w:val="Ttulo2"/>
      </w:pPr>
      <w:bookmarkStart w:id="4" w:name="_Toc333911334"/>
      <w:r w:rsidRPr="00D367B9">
        <w:t xml:space="preserve">1.3 </w:t>
      </w:r>
      <w:r w:rsidR="009966EB" w:rsidRPr="00D367B9">
        <w:t>D</w:t>
      </w:r>
      <w:r w:rsidRPr="00D367B9">
        <w:t>inâmica industrial</w:t>
      </w:r>
      <w:r w:rsidR="009966EB" w:rsidRPr="00D367B9">
        <w:t xml:space="preserve"> e de inovação</w:t>
      </w:r>
      <w:bookmarkEnd w:id="4"/>
    </w:p>
    <w:p w:rsidR="00275052" w:rsidRPr="00F13FB3" w:rsidRDefault="00275052" w:rsidP="00275052">
      <w:pPr>
        <w:spacing w:line="360" w:lineRule="auto"/>
        <w:rPr>
          <w:rFonts w:ascii="Times New Roman" w:hAnsi="Times New Roman" w:cs="Times New Roman"/>
          <w:sz w:val="24"/>
          <w:szCs w:val="24"/>
        </w:rPr>
      </w:pPr>
    </w:p>
    <w:p w:rsidR="00D7509E" w:rsidRDefault="009966EB" w:rsidP="00FC2EBE">
      <w:pPr>
        <w:spacing w:line="360" w:lineRule="auto"/>
        <w:ind w:firstLine="708"/>
        <w:rPr>
          <w:rFonts w:ascii="Times New Roman" w:hAnsi="Times New Roman" w:cs="Times New Roman"/>
          <w:sz w:val="24"/>
          <w:szCs w:val="24"/>
        </w:rPr>
      </w:pPr>
      <w:r>
        <w:rPr>
          <w:rFonts w:ascii="Times New Roman" w:hAnsi="Times New Roman" w:cs="Times New Roman"/>
          <w:sz w:val="24"/>
          <w:szCs w:val="24"/>
        </w:rPr>
        <w:t>Esta seção se dedica à analise da dinâmica industrial e de inovação</w:t>
      </w:r>
      <w:r w:rsidR="00D7509E">
        <w:rPr>
          <w:rFonts w:ascii="Times New Roman" w:hAnsi="Times New Roman" w:cs="Times New Roman"/>
          <w:sz w:val="24"/>
          <w:szCs w:val="24"/>
        </w:rPr>
        <w:t xml:space="preserve"> que poderia ser observada em</w:t>
      </w:r>
      <w:r w:rsidR="00573A04">
        <w:rPr>
          <w:rFonts w:ascii="Times New Roman" w:hAnsi="Times New Roman" w:cs="Times New Roman"/>
          <w:sz w:val="24"/>
          <w:szCs w:val="24"/>
        </w:rPr>
        <w:t xml:space="preserve"> diversos setores, mas </w:t>
      </w:r>
      <w:r w:rsidR="00D7509E">
        <w:rPr>
          <w:rFonts w:ascii="Times New Roman" w:hAnsi="Times New Roman" w:cs="Times New Roman"/>
          <w:sz w:val="24"/>
          <w:szCs w:val="24"/>
        </w:rPr>
        <w:t>notar</w:t>
      </w:r>
      <w:r w:rsidR="00573A04">
        <w:rPr>
          <w:rFonts w:ascii="Times New Roman" w:hAnsi="Times New Roman" w:cs="Times New Roman"/>
          <w:sz w:val="24"/>
          <w:szCs w:val="24"/>
        </w:rPr>
        <w:t>-se-</w:t>
      </w:r>
      <w:r w:rsidR="00D7509E">
        <w:rPr>
          <w:rFonts w:ascii="Times New Roman" w:hAnsi="Times New Roman" w:cs="Times New Roman"/>
          <w:sz w:val="24"/>
          <w:szCs w:val="24"/>
        </w:rPr>
        <w:t>á que em vários momentos são feitas referências à indúst</w:t>
      </w:r>
      <w:r w:rsidR="00FC2EBE">
        <w:rPr>
          <w:rFonts w:ascii="Times New Roman" w:hAnsi="Times New Roman" w:cs="Times New Roman"/>
          <w:sz w:val="24"/>
          <w:szCs w:val="24"/>
        </w:rPr>
        <w:t>ria de biocombustív</w:t>
      </w:r>
      <w:r w:rsidR="006D55CD">
        <w:rPr>
          <w:rFonts w:ascii="Times New Roman" w:hAnsi="Times New Roman" w:cs="Times New Roman"/>
          <w:sz w:val="24"/>
          <w:szCs w:val="24"/>
        </w:rPr>
        <w:t>eis, que, de acordo com Bomtempo</w:t>
      </w:r>
      <w:r w:rsidR="00FC2EBE">
        <w:rPr>
          <w:rFonts w:ascii="Times New Roman" w:hAnsi="Times New Roman" w:cs="Times New Roman"/>
          <w:sz w:val="24"/>
          <w:szCs w:val="24"/>
        </w:rPr>
        <w:t xml:space="preserve"> (2012), já pode ser tratada por “bioindústria”, uma vez que busca </w:t>
      </w:r>
      <w:r w:rsidR="008F4851">
        <w:rPr>
          <w:rFonts w:ascii="Times New Roman" w:hAnsi="Times New Roman" w:cs="Times New Roman"/>
          <w:sz w:val="24"/>
          <w:szCs w:val="24"/>
        </w:rPr>
        <w:t>flexibilizar não só os tipos de matéria-prima</w:t>
      </w:r>
      <w:r w:rsidR="00BD256B">
        <w:rPr>
          <w:rFonts w:ascii="Times New Roman" w:hAnsi="Times New Roman" w:cs="Times New Roman"/>
          <w:sz w:val="24"/>
          <w:szCs w:val="24"/>
        </w:rPr>
        <w:t xml:space="preserve"> derivados da biomassa</w:t>
      </w:r>
      <w:r w:rsidR="008F4851">
        <w:rPr>
          <w:rFonts w:ascii="Times New Roman" w:hAnsi="Times New Roman" w:cs="Times New Roman"/>
          <w:sz w:val="24"/>
          <w:szCs w:val="24"/>
        </w:rPr>
        <w:t>, como também a gama de produtos finais</w:t>
      </w:r>
      <w:r w:rsidR="00FC2EBE">
        <w:rPr>
          <w:rFonts w:ascii="Times New Roman" w:hAnsi="Times New Roman" w:cs="Times New Roman"/>
          <w:sz w:val="24"/>
          <w:szCs w:val="24"/>
        </w:rPr>
        <w:t xml:space="preserve">. </w:t>
      </w:r>
      <w:r w:rsidR="00BA7F01">
        <w:rPr>
          <w:rFonts w:ascii="Times New Roman" w:hAnsi="Times New Roman" w:cs="Times New Roman"/>
          <w:sz w:val="24"/>
          <w:szCs w:val="24"/>
        </w:rPr>
        <w:t>Sendo assim, em alguns momentos, antecip</w:t>
      </w:r>
      <w:r w:rsidR="00573A04">
        <w:rPr>
          <w:rFonts w:ascii="Times New Roman" w:hAnsi="Times New Roman" w:cs="Times New Roman"/>
          <w:sz w:val="24"/>
          <w:szCs w:val="24"/>
        </w:rPr>
        <w:t>aram</w:t>
      </w:r>
      <w:r w:rsidR="00BA7F01">
        <w:rPr>
          <w:rFonts w:ascii="Times New Roman" w:hAnsi="Times New Roman" w:cs="Times New Roman"/>
          <w:sz w:val="24"/>
          <w:szCs w:val="24"/>
        </w:rPr>
        <w:t>-se algumas informações que serão apresentadas em detalhes no capítulo 2 sobre a transformação estrutural verificada n</w:t>
      </w:r>
      <w:r w:rsidR="00AE2AE3">
        <w:rPr>
          <w:rFonts w:ascii="Times New Roman" w:hAnsi="Times New Roman" w:cs="Times New Roman"/>
          <w:sz w:val="24"/>
          <w:szCs w:val="24"/>
        </w:rPr>
        <w:t>est</w:t>
      </w:r>
      <w:r w:rsidR="00BA7F01">
        <w:rPr>
          <w:rFonts w:ascii="Times New Roman" w:hAnsi="Times New Roman" w:cs="Times New Roman"/>
          <w:sz w:val="24"/>
          <w:szCs w:val="24"/>
        </w:rPr>
        <w:t>a indústria.</w:t>
      </w:r>
    </w:p>
    <w:p w:rsidR="00275052" w:rsidRPr="00F13FB3" w:rsidRDefault="00BA7F01" w:rsidP="00275052">
      <w:pPr>
        <w:spacing w:line="360" w:lineRule="auto"/>
        <w:ind w:firstLine="708"/>
        <w:rPr>
          <w:rFonts w:ascii="Times New Roman" w:hAnsi="Times New Roman" w:cs="Times New Roman"/>
          <w:sz w:val="24"/>
          <w:szCs w:val="24"/>
        </w:rPr>
      </w:pPr>
      <w:r>
        <w:rPr>
          <w:rFonts w:ascii="Times New Roman" w:hAnsi="Times New Roman" w:cs="Times New Roman"/>
          <w:sz w:val="24"/>
          <w:szCs w:val="24"/>
        </w:rPr>
        <w:t>Feitas essas considerações, o primeiro</w:t>
      </w:r>
      <w:r w:rsidR="00275052" w:rsidRPr="00F13FB3">
        <w:rPr>
          <w:rFonts w:ascii="Times New Roman" w:hAnsi="Times New Roman" w:cs="Times New Roman"/>
          <w:sz w:val="24"/>
          <w:szCs w:val="24"/>
        </w:rPr>
        <w:t xml:space="preserve"> ponto que chama a atenção </w:t>
      </w:r>
      <w:r>
        <w:rPr>
          <w:rFonts w:ascii="Times New Roman" w:hAnsi="Times New Roman" w:cs="Times New Roman"/>
          <w:sz w:val="24"/>
          <w:szCs w:val="24"/>
        </w:rPr>
        <w:t xml:space="preserve">na bioindústria que se encontra em formação </w:t>
      </w:r>
      <w:r w:rsidR="00275052" w:rsidRPr="00F13FB3">
        <w:rPr>
          <w:rFonts w:ascii="Times New Roman" w:hAnsi="Times New Roman" w:cs="Times New Roman"/>
          <w:sz w:val="24"/>
          <w:szCs w:val="24"/>
        </w:rPr>
        <w:t>é o fato de que tecnologias novas, como as que envolvem engenharia genética, tendem a ser proprietárias, desenvolvidas com base no esforço de inovação interno das empresas, justamente por serem mais complexas. Nesse novo contexto, a tecnologia deixa de ser somente um fator estrutural e passa a ser também um fator estratégico, parte da conduta das empresas, tornando-se um elemento dinâmico capaz de transformar a própria estrutura. O ambiente competitivo em que atuam as empresas está intimamente associado à inovação e à busca por novas oportunidades lucrativas de negócio.</w:t>
      </w:r>
    </w:p>
    <w:p w:rsidR="00275052" w:rsidRPr="00F13FB3" w:rsidRDefault="00275052" w:rsidP="00275052">
      <w:pPr>
        <w:spacing w:line="360" w:lineRule="auto"/>
        <w:ind w:firstLine="708"/>
        <w:rPr>
          <w:rFonts w:ascii="Times New Roman" w:hAnsi="Times New Roman" w:cs="Times New Roman"/>
          <w:sz w:val="24"/>
          <w:szCs w:val="24"/>
        </w:rPr>
      </w:pPr>
      <w:r w:rsidRPr="00F13FB3">
        <w:rPr>
          <w:rFonts w:ascii="Times New Roman" w:hAnsi="Times New Roman" w:cs="Times New Roman"/>
          <w:sz w:val="24"/>
          <w:szCs w:val="24"/>
        </w:rPr>
        <w:t>Seguindo a taxon</w:t>
      </w:r>
      <w:r w:rsidR="00441424">
        <w:rPr>
          <w:rFonts w:ascii="Times New Roman" w:hAnsi="Times New Roman" w:cs="Times New Roman"/>
          <w:sz w:val="24"/>
          <w:szCs w:val="24"/>
        </w:rPr>
        <w:t>omia sugerida por Pavitt (1984</w:t>
      </w:r>
      <w:r w:rsidRPr="00F13FB3">
        <w:rPr>
          <w:rFonts w:ascii="Times New Roman" w:hAnsi="Times New Roman" w:cs="Times New Roman"/>
          <w:sz w:val="24"/>
          <w:szCs w:val="24"/>
        </w:rPr>
        <w:t>)</w:t>
      </w:r>
      <w:r w:rsidRPr="00F13FB3">
        <w:rPr>
          <w:rStyle w:val="Refdenotaderodap"/>
          <w:rFonts w:ascii="Times New Roman" w:hAnsi="Times New Roman" w:cs="Times New Roman"/>
          <w:sz w:val="24"/>
          <w:szCs w:val="24"/>
        </w:rPr>
        <w:footnoteReference w:id="6"/>
      </w:r>
      <w:r w:rsidRPr="00F13FB3">
        <w:rPr>
          <w:rFonts w:ascii="Times New Roman" w:hAnsi="Times New Roman" w:cs="Times New Roman"/>
          <w:sz w:val="24"/>
          <w:szCs w:val="24"/>
        </w:rPr>
        <w:t xml:space="preserve">, certamente a indústria de biocombustíveis passará pela transição de uma estrutura caracterizada por firmas dominadas por fornecedores para outra na qual dominarão firmas baseadas em ciência, onde a acumulação tecnológica surge principalmente de laboratórios mantidos pelas próprias firmas, </w:t>
      </w:r>
      <w:r w:rsidRPr="00F13FB3">
        <w:rPr>
          <w:rFonts w:ascii="Times New Roman" w:hAnsi="Times New Roman" w:cs="Times New Roman"/>
          <w:sz w:val="24"/>
          <w:szCs w:val="24"/>
        </w:rPr>
        <w:lastRenderedPageBreak/>
        <w:t>depende pesadamente do conhecimento, das habilidades e técnicas desenvolvidas a partir de pesquisa nas universidades e se expande na busca horizontal de mercados para produtos novos e relacionados à tecnologia</w:t>
      </w:r>
      <w:r w:rsidR="002B6141">
        <w:rPr>
          <w:rFonts w:ascii="Times New Roman" w:hAnsi="Times New Roman" w:cs="Times New Roman"/>
          <w:sz w:val="24"/>
          <w:szCs w:val="24"/>
        </w:rPr>
        <w:t xml:space="preserve"> (BOMTEMPO, 2009)</w:t>
      </w:r>
      <w:r w:rsidRPr="00F13FB3">
        <w:rPr>
          <w:rFonts w:ascii="Times New Roman" w:hAnsi="Times New Roman" w:cs="Times New Roman"/>
          <w:sz w:val="24"/>
          <w:szCs w:val="24"/>
        </w:rPr>
        <w:t xml:space="preserve">. </w:t>
      </w:r>
    </w:p>
    <w:p w:rsidR="00275052" w:rsidRDefault="00275052" w:rsidP="00275052">
      <w:pPr>
        <w:spacing w:line="360" w:lineRule="auto"/>
        <w:ind w:firstLine="708"/>
        <w:rPr>
          <w:rFonts w:ascii="Times New Roman" w:hAnsi="Times New Roman" w:cs="Times New Roman"/>
          <w:sz w:val="24"/>
          <w:szCs w:val="24"/>
        </w:rPr>
      </w:pPr>
      <w:r w:rsidRPr="00F13FB3">
        <w:rPr>
          <w:rFonts w:ascii="Times New Roman" w:hAnsi="Times New Roman" w:cs="Times New Roman"/>
          <w:sz w:val="24"/>
          <w:szCs w:val="24"/>
        </w:rPr>
        <w:t xml:space="preserve">De modo similar, </w:t>
      </w:r>
      <w:r w:rsidR="00441424">
        <w:rPr>
          <w:rFonts w:ascii="Times New Roman" w:hAnsi="Times New Roman" w:cs="Times New Roman"/>
          <w:sz w:val="24"/>
          <w:szCs w:val="24"/>
        </w:rPr>
        <w:t>Serghe</w:t>
      </w:r>
      <w:r w:rsidR="00C03F51">
        <w:rPr>
          <w:rFonts w:ascii="Times New Roman" w:hAnsi="Times New Roman" w:cs="Times New Roman"/>
          <w:sz w:val="24"/>
          <w:szCs w:val="24"/>
        </w:rPr>
        <w:t>i</w:t>
      </w:r>
      <w:r w:rsidR="00441424">
        <w:rPr>
          <w:rFonts w:ascii="Times New Roman" w:hAnsi="Times New Roman" w:cs="Times New Roman"/>
          <w:sz w:val="24"/>
          <w:szCs w:val="24"/>
        </w:rPr>
        <w:t xml:space="preserve"> Floricel e </w:t>
      </w:r>
      <w:r w:rsidRPr="00F13FB3">
        <w:rPr>
          <w:rFonts w:ascii="Times New Roman" w:hAnsi="Times New Roman" w:cs="Times New Roman"/>
          <w:sz w:val="24"/>
          <w:szCs w:val="24"/>
        </w:rPr>
        <w:t>Roger Miller</w:t>
      </w:r>
      <w:r w:rsidR="00441424">
        <w:rPr>
          <w:rFonts w:ascii="Times New Roman" w:hAnsi="Times New Roman" w:cs="Times New Roman"/>
          <w:sz w:val="24"/>
          <w:szCs w:val="24"/>
        </w:rPr>
        <w:t xml:space="preserve"> buscaram</w:t>
      </w:r>
      <w:r w:rsidRPr="00F13FB3">
        <w:rPr>
          <w:rFonts w:ascii="Times New Roman" w:hAnsi="Times New Roman" w:cs="Times New Roman"/>
          <w:sz w:val="24"/>
          <w:szCs w:val="24"/>
        </w:rPr>
        <w:t xml:space="preserve"> classificar os diferentes ambientes de negócio e o modo mais apropriado para gerenciar inovações, identificando quatro fatores do ambiente de negócios que influenciam a gestão de inovação: i) velocidade com que mudam a tecnologia, a ciência e os mercados, ii) o papel de instituições como o governo, regulação e ou</w:t>
      </w:r>
      <w:r>
        <w:rPr>
          <w:rFonts w:ascii="Times New Roman" w:hAnsi="Times New Roman" w:cs="Times New Roman"/>
          <w:sz w:val="24"/>
          <w:szCs w:val="24"/>
        </w:rPr>
        <w:t>tras iii) desafio proposto pela demanda</w:t>
      </w:r>
      <w:r w:rsidRPr="00F13FB3">
        <w:rPr>
          <w:rFonts w:ascii="Times New Roman" w:hAnsi="Times New Roman" w:cs="Times New Roman"/>
          <w:sz w:val="24"/>
          <w:szCs w:val="24"/>
        </w:rPr>
        <w:t xml:space="preserve"> por desempenho, adaptação a certos padrões estabelecidos, e iv) incerteza – em termos de tecnologia e de mercados. Na “nova economia”, em que a ciência e a tecnologia são essenciais para a criação de vantagens competitivas, todos os fatores mencionados são mais fortes (</w:t>
      </w:r>
      <w:r w:rsidR="00441424">
        <w:rPr>
          <w:rFonts w:ascii="Times New Roman" w:hAnsi="Times New Roman" w:cs="Times New Roman"/>
          <w:sz w:val="24"/>
          <w:szCs w:val="24"/>
        </w:rPr>
        <w:t xml:space="preserve">FLORICEL; MILLER, 2003 apud </w:t>
      </w:r>
      <w:r w:rsidRPr="00F13FB3">
        <w:rPr>
          <w:rFonts w:ascii="Times New Roman" w:hAnsi="Times New Roman" w:cs="Times New Roman"/>
          <w:sz w:val="24"/>
          <w:szCs w:val="24"/>
        </w:rPr>
        <w:t>TIDD et al., 2005).</w:t>
      </w:r>
    </w:p>
    <w:p w:rsidR="000023BD" w:rsidRPr="00F13FB3" w:rsidRDefault="00573A04" w:rsidP="000023BD">
      <w:pPr>
        <w:spacing w:line="360" w:lineRule="auto"/>
        <w:ind w:firstLine="708"/>
        <w:rPr>
          <w:rFonts w:ascii="Times New Roman" w:hAnsi="Times New Roman" w:cs="Times New Roman"/>
          <w:sz w:val="24"/>
          <w:szCs w:val="24"/>
        </w:rPr>
      </w:pPr>
      <w:r>
        <w:rPr>
          <w:rFonts w:ascii="Times New Roman" w:hAnsi="Times New Roman" w:cs="Times New Roman"/>
          <w:sz w:val="24"/>
          <w:szCs w:val="24"/>
        </w:rPr>
        <w:t>Outra característica</w:t>
      </w:r>
      <w:r w:rsidR="000023BD">
        <w:rPr>
          <w:rFonts w:ascii="Times New Roman" w:hAnsi="Times New Roman" w:cs="Times New Roman"/>
          <w:sz w:val="24"/>
          <w:szCs w:val="24"/>
        </w:rPr>
        <w:t xml:space="preserve"> que </w:t>
      </w:r>
      <w:r>
        <w:rPr>
          <w:rFonts w:ascii="Times New Roman" w:hAnsi="Times New Roman" w:cs="Times New Roman"/>
          <w:sz w:val="24"/>
          <w:szCs w:val="24"/>
        </w:rPr>
        <w:t>merece destaque</w:t>
      </w:r>
      <w:r w:rsidR="000023BD">
        <w:rPr>
          <w:rFonts w:ascii="Times New Roman" w:hAnsi="Times New Roman" w:cs="Times New Roman"/>
          <w:sz w:val="24"/>
          <w:szCs w:val="24"/>
        </w:rPr>
        <w:t xml:space="preserve"> tem a ver com o grau de</w:t>
      </w:r>
      <w:r w:rsidR="000023BD" w:rsidRPr="00F13FB3">
        <w:rPr>
          <w:rFonts w:ascii="Times New Roman" w:hAnsi="Times New Roman" w:cs="Times New Roman"/>
          <w:sz w:val="24"/>
          <w:szCs w:val="24"/>
        </w:rPr>
        <w:t xml:space="preserve"> integração entre setores distintos</w:t>
      </w:r>
      <w:r w:rsidR="000023BD">
        <w:rPr>
          <w:rFonts w:ascii="Times New Roman" w:hAnsi="Times New Roman" w:cs="Times New Roman"/>
          <w:sz w:val="24"/>
          <w:szCs w:val="24"/>
        </w:rPr>
        <w:t xml:space="preserve"> e</w:t>
      </w:r>
      <w:r w:rsidR="000023BD" w:rsidRPr="00F13FB3">
        <w:rPr>
          <w:rFonts w:ascii="Times New Roman" w:hAnsi="Times New Roman" w:cs="Times New Roman"/>
          <w:sz w:val="24"/>
          <w:szCs w:val="24"/>
        </w:rPr>
        <w:t xml:space="preserve"> sugere a busca de cooperação no desenvolvimento de inovações. Verifica-se a tendência de formação de alianças entre empresas dotadas de diferentes capacitações, como </w:t>
      </w:r>
      <w:r w:rsidR="000023BD" w:rsidRPr="00D8687F">
        <w:rPr>
          <w:rFonts w:ascii="Times New Roman" w:hAnsi="Times New Roman" w:cs="Times New Roman"/>
          <w:i/>
          <w:sz w:val="24"/>
          <w:szCs w:val="24"/>
        </w:rPr>
        <w:t>start-ups</w:t>
      </w:r>
      <w:r w:rsidR="000023BD" w:rsidRPr="00F13FB3">
        <w:rPr>
          <w:rFonts w:ascii="Times New Roman" w:hAnsi="Times New Roman" w:cs="Times New Roman"/>
          <w:sz w:val="24"/>
          <w:szCs w:val="24"/>
        </w:rPr>
        <w:t xml:space="preserve"> de base tecnológica, grandes companhias de petróleo, multinacionais do agronegócio, grandes empresas da indústria química </w:t>
      </w:r>
      <w:r w:rsidR="005B32F9">
        <w:rPr>
          <w:rFonts w:ascii="Times New Roman" w:hAnsi="Times New Roman" w:cs="Times New Roman"/>
          <w:sz w:val="24"/>
          <w:szCs w:val="24"/>
        </w:rPr>
        <w:t>e de</w:t>
      </w:r>
      <w:r w:rsidR="000023BD" w:rsidRPr="00F13FB3">
        <w:rPr>
          <w:rFonts w:ascii="Times New Roman" w:hAnsi="Times New Roman" w:cs="Times New Roman"/>
          <w:sz w:val="24"/>
          <w:szCs w:val="24"/>
        </w:rPr>
        <w:t xml:space="preserve"> biotecnologia. </w:t>
      </w:r>
    </w:p>
    <w:p w:rsidR="000023BD" w:rsidRDefault="000023BD" w:rsidP="000023BD">
      <w:pPr>
        <w:spacing w:line="360" w:lineRule="auto"/>
        <w:ind w:firstLine="708"/>
        <w:rPr>
          <w:rFonts w:ascii="Times New Roman" w:hAnsi="Times New Roman" w:cs="Times New Roman"/>
          <w:sz w:val="24"/>
          <w:szCs w:val="24"/>
        </w:rPr>
      </w:pPr>
      <w:r w:rsidRPr="00F13FB3">
        <w:rPr>
          <w:rFonts w:ascii="Times New Roman" w:hAnsi="Times New Roman" w:cs="Times New Roman"/>
          <w:sz w:val="24"/>
          <w:szCs w:val="24"/>
        </w:rPr>
        <w:t>A importância da ampliação das fronteiras de uma indústria foi observada em estudos como o de Malerba e Orsenigo (1996). Para estes pesquis</w:t>
      </w:r>
      <w:r>
        <w:rPr>
          <w:rFonts w:ascii="Times New Roman" w:hAnsi="Times New Roman" w:cs="Times New Roman"/>
          <w:sz w:val="24"/>
          <w:szCs w:val="24"/>
        </w:rPr>
        <w:t>adores</w:t>
      </w:r>
      <w:r w:rsidRPr="00F13FB3">
        <w:rPr>
          <w:rFonts w:ascii="Times New Roman" w:hAnsi="Times New Roman" w:cs="Times New Roman"/>
          <w:sz w:val="24"/>
          <w:szCs w:val="24"/>
        </w:rPr>
        <w:t>, o alargamento das fronteiras da indústria analisada permite capturar processos de transformação de produtos e processos e o surgimento de novas tecnologias. Quando a análise é reduzida a um único produto, corre-se o risco de ignorar relações de interdependência com produtos e/ou processos externos à indústria que podem ser cruciais para o desempenho das firmas.</w:t>
      </w:r>
    </w:p>
    <w:p w:rsidR="00275052" w:rsidRDefault="000023BD" w:rsidP="00275052">
      <w:pPr>
        <w:spacing w:line="360" w:lineRule="auto"/>
        <w:ind w:firstLine="709"/>
        <w:rPr>
          <w:rFonts w:ascii="Times New Roman" w:hAnsi="Times New Roman" w:cs="Times New Roman"/>
          <w:sz w:val="24"/>
          <w:szCs w:val="24"/>
          <w:lang w:val="pt-PT"/>
        </w:rPr>
      </w:pPr>
      <w:r>
        <w:rPr>
          <w:rFonts w:ascii="Times New Roman" w:hAnsi="Times New Roman" w:cs="Times New Roman"/>
          <w:sz w:val="24"/>
          <w:szCs w:val="24"/>
          <w:lang w:val="pt-PT"/>
        </w:rPr>
        <w:t>A</w:t>
      </w:r>
      <w:r w:rsidR="00275052">
        <w:rPr>
          <w:rFonts w:ascii="Times New Roman" w:hAnsi="Times New Roman" w:cs="Times New Roman"/>
          <w:sz w:val="24"/>
          <w:szCs w:val="24"/>
          <w:lang w:val="pt-PT"/>
        </w:rPr>
        <w:t xml:space="preserve"> abordagem</w:t>
      </w:r>
      <w:r>
        <w:rPr>
          <w:rFonts w:ascii="Times New Roman" w:hAnsi="Times New Roman" w:cs="Times New Roman"/>
          <w:sz w:val="24"/>
          <w:szCs w:val="24"/>
          <w:lang w:val="pt-PT"/>
        </w:rPr>
        <w:t xml:space="preserve"> de Levinthal (2005) também pode se</w:t>
      </w:r>
      <w:r w:rsidR="00275052">
        <w:rPr>
          <w:rFonts w:ascii="Times New Roman" w:hAnsi="Times New Roman" w:cs="Times New Roman"/>
          <w:sz w:val="24"/>
          <w:szCs w:val="24"/>
          <w:lang w:val="pt-PT"/>
        </w:rPr>
        <w:t xml:space="preserve"> mostra</w:t>
      </w:r>
      <w:r>
        <w:rPr>
          <w:rFonts w:ascii="Times New Roman" w:hAnsi="Times New Roman" w:cs="Times New Roman"/>
          <w:sz w:val="24"/>
          <w:szCs w:val="24"/>
          <w:lang w:val="pt-PT"/>
        </w:rPr>
        <w:t>r</w:t>
      </w:r>
      <w:r w:rsidR="00275052">
        <w:rPr>
          <w:rFonts w:ascii="Times New Roman" w:hAnsi="Times New Roman" w:cs="Times New Roman"/>
          <w:sz w:val="24"/>
          <w:szCs w:val="24"/>
          <w:lang w:val="pt-PT"/>
        </w:rPr>
        <w:t xml:space="preserve"> interessante </w:t>
      </w:r>
      <w:r>
        <w:rPr>
          <w:rFonts w:ascii="Times New Roman" w:hAnsi="Times New Roman" w:cs="Times New Roman"/>
          <w:sz w:val="24"/>
          <w:szCs w:val="24"/>
          <w:lang w:val="pt-PT"/>
        </w:rPr>
        <w:t xml:space="preserve">para a compreensão dessa expansão das fronteiras da nova bioindústria </w:t>
      </w:r>
      <w:r w:rsidR="00275052">
        <w:rPr>
          <w:rFonts w:ascii="Times New Roman" w:hAnsi="Times New Roman" w:cs="Times New Roman"/>
          <w:sz w:val="24"/>
          <w:szCs w:val="24"/>
          <w:lang w:val="pt-PT"/>
        </w:rPr>
        <w:t>por argumentar que, no processo de mudança tecnológica, o evento crítico não é a transformação da tecnologia em si, mas sim o que ele chama de “especiação”</w:t>
      </w:r>
      <w:r w:rsidR="00275052">
        <w:rPr>
          <w:rStyle w:val="Refdenotaderodap"/>
          <w:rFonts w:ascii="Times New Roman" w:hAnsi="Times New Roman" w:cs="Times New Roman"/>
          <w:sz w:val="24"/>
          <w:szCs w:val="24"/>
          <w:lang w:val="pt-PT"/>
        </w:rPr>
        <w:footnoteReference w:id="7"/>
      </w:r>
      <w:r w:rsidR="00275052">
        <w:rPr>
          <w:rFonts w:ascii="Times New Roman" w:hAnsi="Times New Roman" w:cs="Times New Roman"/>
          <w:sz w:val="24"/>
          <w:szCs w:val="24"/>
          <w:lang w:val="pt-PT"/>
        </w:rPr>
        <w:t>, isto é, a aplicação de uma tecnologia existente a novos domínios. Por estar direcionada a um nicho com diferentes critérios de seleção e recursos disponíveis, essa mudança de aplicação da base de conhecimento pode desencadear uma trajetória evolucionária substancialmente nova e divergente.</w:t>
      </w:r>
    </w:p>
    <w:p w:rsidR="00275052" w:rsidRPr="007D21E3" w:rsidRDefault="00275052" w:rsidP="00275052">
      <w:pPr>
        <w:spacing w:line="360" w:lineRule="auto"/>
        <w:ind w:firstLine="709"/>
        <w:rPr>
          <w:rFonts w:ascii="Times New Roman" w:hAnsi="Times New Roman" w:cs="Times New Roman"/>
          <w:sz w:val="24"/>
          <w:szCs w:val="24"/>
          <w:lang w:val="pt-PT"/>
        </w:rPr>
      </w:pPr>
      <w:r>
        <w:rPr>
          <w:rFonts w:ascii="Times New Roman" w:hAnsi="Times New Roman" w:cs="Times New Roman"/>
          <w:sz w:val="24"/>
          <w:szCs w:val="24"/>
          <w:lang w:val="pt-PT"/>
        </w:rPr>
        <w:lastRenderedPageBreak/>
        <w:t>De fato, o conhecimento requerido por alguns processos que estão sendo aplicados à biomassa atualmente para se produzir biocombustíveis de desempenho superior já faziam parte da base tecnológica de empresas da indústria petroquímica, química e</w:t>
      </w:r>
      <w:r w:rsidR="005B32F9">
        <w:rPr>
          <w:rFonts w:ascii="Times New Roman" w:hAnsi="Times New Roman" w:cs="Times New Roman"/>
          <w:sz w:val="24"/>
          <w:szCs w:val="24"/>
          <w:lang w:val="pt-PT"/>
        </w:rPr>
        <w:t xml:space="preserve"> biotecnologia</w:t>
      </w:r>
      <w:r>
        <w:rPr>
          <w:rFonts w:ascii="Times New Roman" w:hAnsi="Times New Roman" w:cs="Times New Roman"/>
          <w:sz w:val="24"/>
          <w:szCs w:val="24"/>
          <w:lang w:val="pt-PT"/>
        </w:rPr>
        <w:t xml:space="preserve"> farmacêutica. A aplicação de conhecimentos científicos e tecnologias já consol</w:t>
      </w:r>
      <w:r w:rsidR="00E57CE3">
        <w:rPr>
          <w:rFonts w:ascii="Times New Roman" w:hAnsi="Times New Roman" w:cs="Times New Roman"/>
          <w:sz w:val="24"/>
          <w:szCs w:val="24"/>
          <w:lang w:val="pt-PT"/>
        </w:rPr>
        <w:t>idados nessas indústrias, apesar de exigir desenvolvimentos específicos para a produção de bioprodutos,</w:t>
      </w:r>
      <w:r>
        <w:rPr>
          <w:rFonts w:ascii="Times New Roman" w:hAnsi="Times New Roman" w:cs="Times New Roman"/>
          <w:sz w:val="24"/>
          <w:szCs w:val="24"/>
          <w:lang w:val="pt-PT"/>
        </w:rPr>
        <w:t xml:space="preserve"> pode ter um impacto comercial bastante expressivo.</w:t>
      </w:r>
      <w:r w:rsidR="00E57CE3">
        <w:rPr>
          <w:rFonts w:ascii="Times New Roman" w:hAnsi="Times New Roman" w:cs="Times New Roman"/>
          <w:sz w:val="24"/>
          <w:szCs w:val="24"/>
          <w:lang w:val="pt-PT"/>
        </w:rPr>
        <w:t xml:space="preserve"> </w:t>
      </w:r>
    </w:p>
    <w:p w:rsidR="00275052" w:rsidRPr="00F13FB3" w:rsidRDefault="00275052" w:rsidP="00275052">
      <w:pPr>
        <w:spacing w:line="360" w:lineRule="auto"/>
        <w:ind w:firstLine="708"/>
        <w:rPr>
          <w:rFonts w:ascii="Times New Roman" w:hAnsi="Times New Roman" w:cs="Times New Roman"/>
          <w:sz w:val="24"/>
          <w:szCs w:val="24"/>
        </w:rPr>
      </w:pPr>
      <w:r w:rsidRPr="00F13FB3">
        <w:rPr>
          <w:rFonts w:ascii="Times New Roman" w:hAnsi="Times New Roman" w:cs="Times New Roman"/>
          <w:sz w:val="24"/>
          <w:szCs w:val="24"/>
        </w:rPr>
        <w:t>Autores como James Utterback e William Abernathy</w:t>
      </w:r>
      <w:r>
        <w:rPr>
          <w:rFonts w:ascii="Times New Roman" w:hAnsi="Times New Roman" w:cs="Times New Roman"/>
          <w:sz w:val="24"/>
          <w:szCs w:val="24"/>
        </w:rPr>
        <w:t>, por sua vez,</w:t>
      </w:r>
      <w:r w:rsidRPr="00F13FB3">
        <w:rPr>
          <w:rFonts w:ascii="Times New Roman" w:hAnsi="Times New Roman" w:cs="Times New Roman"/>
          <w:sz w:val="24"/>
          <w:szCs w:val="24"/>
        </w:rPr>
        <w:t xml:space="preserve"> estudaram a natureza da mudança tecnológica e sua r</w:t>
      </w:r>
      <w:r>
        <w:rPr>
          <w:rFonts w:ascii="Times New Roman" w:hAnsi="Times New Roman" w:cs="Times New Roman"/>
          <w:sz w:val="24"/>
          <w:szCs w:val="24"/>
        </w:rPr>
        <w:t>elação com o ciclo de vida dos</w:t>
      </w:r>
      <w:r w:rsidRPr="00F13FB3">
        <w:rPr>
          <w:rFonts w:ascii="Times New Roman" w:hAnsi="Times New Roman" w:cs="Times New Roman"/>
          <w:sz w:val="24"/>
          <w:szCs w:val="24"/>
        </w:rPr>
        <w:t xml:space="preserve"> produto</w:t>
      </w:r>
      <w:r>
        <w:rPr>
          <w:rFonts w:ascii="Times New Roman" w:hAnsi="Times New Roman" w:cs="Times New Roman"/>
          <w:sz w:val="24"/>
          <w:szCs w:val="24"/>
        </w:rPr>
        <w:t>s</w:t>
      </w:r>
      <w:r w:rsidRPr="00F13FB3">
        <w:rPr>
          <w:rFonts w:ascii="Times New Roman" w:hAnsi="Times New Roman" w:cs="Times New Roman"/>
          <w:sz w:val="24"/>
          <w:szCs w:val="24"/>
        </w:rPr>
        <w:t>, bem como suas implicações para as estratégias empresariais. Klepper e Graddy (1990), citando Abernathy</w:t>
      </w:r>
      <w:r w:rsidR="00CC21CE">
        <w:rPr>
          <w:rFonts w:ascii="Times New Roman" w:hAnsi="Times New Roman" w:cs="Times New Roman"/>
          <w:sz w:val="24"/>
          <w:szCs w:val="24"/>
        </w:rPr>
        <w:t xml:space="preserve"> (1978)</w:t>
      </w:r>
      <w:r w:rsidR="00FB5E76" w:rsidRPr="00F13FB3">
        <w:rPr>
          <w:rFonts w:ascii="Times New Roman" w:hAnsi="Times New Roman" w:cs="Times New Roman"/>
          <w:sz w:val="24"/>
          <w:szCs w:val="24"/>
        </w:rPr>
        <w:t xml:space="preserve"> </w:t>
      </w:r>
      <w:r w:rsidRPr="00F13FB3">
        <w:rPr>
          <w:rFonts w:ascii="Times New Roman" w:hAnsi="Times New Roman" w:cs="Times New Roman"/>
          <w:sz w:val="24"/>
          <w:szCs w:val="24"/>
        </w:rPr>
        <w:t>e Utterback</w:t>
      </w:r>
      <w:r w:rsidR="00CC21CE">
        <w:rPr>
          <w:rFonts w:ascii="Times New Roman" w:hAnsi="Times New Roman" w:cs="Times New Roman"/>
          <w:sz w:val="24"/>
          <w:szCs w:val="24"/>
        </w:rPr>
        <w:t xml:space="preserve"> (1979)</w:t>
      </w:r>
      <w:r>
        <w:rPr>
          <w:rFonts w:ascii="Times New Roman" w:hAnsi="Times New Roman" w:cs="Times New Roman"/>
          <w:sz w:val="24"/>
          <w:szCs w:val="24"/>
        </w:rPr>
        <w:t xml:space="preserve"> discorrem sobre os aspectos</w:t>
      </w:r>
      <w:r w:rsidRPr="00F13FB3">
        <w:rPr>
          <w:rFonts w:ascii="Times New Roman" w:hAnsi="Times New Roman" w:cs="Times New Roman"/>
          <w:sz w:val="24"/>
          <w:szCs w:val="24"/>
        </w:rPr>
        <w:t xml:space="preserve"> gerais desse ciclo de vida, destacando três fases bastante distintas: a fluida, a transitória e a específica.</w:t>
      </w:r>
    </w:p>
    <w:p w:rsidR="00275052" w:rsidRPr="00F13FB3" w:rsidRDefault="00275052" w:rsidP="00275052">
      <w:pPr>
        <w:spacing w:line="360" w:lineRule="auto"/>
        <w:ind w:firstLine="708"/>
        <w:rPr>
          <w:rFonts w:ascii="Times New Roman" w:hAnsi="Times New Roman" w:cs="Times New Roman"/>
          <w:sz w:val="24"/>
          <w:szCs w:val="24"/>
        </w:rPr>
      </w:pPr>
      <w:r>
        <w:rPr>
          <w:rFonts w:ascii="Times New Roman" w:hAnsi="Times New Roman" w:cs="Times New Roman"/>
          <w:sz w:val="24"/>
          <w:szCs w:val="24"/>
        </w:rPr>
        <w:t>Na primeira fase, chamada de fluida, os</w:t>
      </w:r>
      <w:r w:rsidRPr="00F13FB3">
        <w:rPr>
          <w:rFonts w:ascii="Times New Roman" w:hAnsi="Times New Roman" w:cs="Times New Roman"/>
          <w:sz w:val="24"/>
          <w:szCs w:val="24"/>
        </w:rPr>
        <w:t xml:space="preserve"> entrantes são firmas pequenas e possuem experiência em tecnologias correlatas. Baseadas em informações dos usuários, elas promovem inovações de produtos. Há rápida mudança nas participações de mercado, uma vez que inovações bem-sucedidas acabam por eliminar concorrentes menos eficientes, e um alto nível de incerteza e experimentação que busca conquistar a preferência do usuário.</w:t>
      </w:r>
    </w:p>
    <w:p w:rsidR="00275052" w:rsidRPr="00F13FB3" w:rsidRDefault="00275052" w:rsidP="00275052">
      <w:pPr>
        <w:spacing w:line="360" w:lineRule="auto"/>
        <w:ind w:firstLine="708"/>
        <w:rPr>
          <w:rFonts w:ascii="Times New Roman" w:hAnsi="Times New Roman" w:cs="Times New Roman"/>
          <w:sz w:val="24"/>
          <w:szCs w:val="24"/>
        </w:rPr>
      </w:pPr>
      <w:r w:rsidRPr="00F13FB3">
        <w:rPr>
          <w:rFonts w:ascii="Times New Roman" w:hAnsi="Times New Roman" w:cs="Times New Roman"/>
          <w:sz w:val="24"/>
          <w:szCs w:val="24"/>
        </w:rPr>
        <w:t>A incerteza contribui de forma negativa para o crescimento das empresas até que, com o tempo, passam a surgir</w:t>
      </w:r>
      <w:r>
        <w:rPr>
          <w:rFonts w:ascii="Times New Roman" w:hAnsi="Times New Roman" w:cs="Times New Roman"/>
          <w:sz w:val="24"/>
          <w:szCs w:val="24"/>
        </w:rPr>
        <w:t xml:space="preserve"> padrões ou</w:t>
      </w:r>
      <w:r w:rsidRPr="00F13FB3">
        <w:rPr>
          <w:rFonts w:ascii="Times New Roman" w:hAnsi="Times New Roman" w:cs="Times New Roman"/>
          <w:sz w:val="24"/>
          <w:szCs w:val="24"/>
        </w:rPr>
        <w:t xml:space="preserve"> </w:t>
      </w:r>
      <w:r w:rsidRPr="00D8687F">
        <w:rPr>
          <w:rFonts w:ascii="Times New Roman" w:hAnsi="Times New Roman" w:cs="Times New Roman"/>
          <w:i/>
          <w:sz w:val="24"/>
          <w:szCs w:val="24"/>
        </w:rPr>
        <w:t>designs</w:t>
      </w:r>
      <w:r w:rsidRPr="00F13FB3">
        <w:rPr>
          <w:rFonts w:ascii="Times New Roman" w:hAnsi="Times New Roman" w:cs="Times New Roman"/>
          <w:sz w:val="24"/>
          <w:szCs w:val="24"/>
        </w:rPr>
        <w:t xml:space="preserve"> dominantes para diversas características do produto. O </w:t>
      </w:r>
      <w:r w:rsidRPr="00D8687F">
        <w:rPr>
          <w:rFonts w:ascii="Times New Roman" w:hAnsi="Times New Roman" w:cs="Times New Roman"/>
          <w:i/>
          <w:sz w:val="24"/>
          <w:szCs w:val="24"/>
        </w:rPr>
        <w:t>design</w:t>
      </w:r>
      <w:r w:rsidRPr="00F13FB3">
        <w:rPr>
          <w:rFonts w:ascii="Times New Roman" w:hAnsi="Times New Roman" w:cs="Times New Roman"/>
          <w:sz w:val="24"/>
          <w:szCs w:val="24"/>
        </w:rPr>
        <w:t xml:space="preserve"> dominante corresponde a um produto ou tecnologia, que atinge a preferência do mercado ao atender à maior parte dos requisitos dos usuários, tornando quase obr</w:t>
      </w:r>
      <w:r>
        <w:rPr>
          <w:rFonts w:ascii="Times New Roman" w:hAnsi="Times New Roman" w:cs="Times New Roman"/>
          <w:sz w:val="24"/>
          <w:szCs w:val="24"/>
        </w:rPr>
        <w:t>igatória sua adoção pelo</w:t>
      </w:r>
      <w:r w:rsidRPr="00F13FB3">
        <w:rPr>
          <w:rFonts w:ascii="Times New Roman" w:hAnsi="Times New Roman" w:cs="Times New Roman"/>
          <w:sz w:val="24"/>
          <w:szCs w:val="24"/>
        </w:rPr>
        <w:t>s competidores que têm intenção de permanecer no mercado e aumentar suas partic</w:t>
      </w:r>
      <w:r w:rsidR="00CC21CE">
        <w:rPr>
          <w:rFonts w:ascii="Times New Roman" w:hAnsi="Times New Roman" w:cs="Times New Roman"/>
          <w:sz w:val="24"/>
          <w:szCs w:val="24"/>
        </w:rPr>
        <w:t>ipações</w:t>
      </w:r>
      <w:r w:rsidRPr="00F13FB3">
        <w:rPr>
          <w:rFonts w:ascii="Times New Roman" w:hAnsi="Times New Roman" w:cs="Times New Roman"/>
          <w:sz w:val="24"/>
          <w:szCs w:val="24"/>
        </w:rPr>
        <w:t>. A crescente colaboração, em vez de competição</w:t>
      </w:r>
      <w:r>
        <w:rPr>
          <w:rFonts w:ascii="Times New Roman" w:hAnsi="Times New Roman" w:cs="Times New Roman"/>
          <w:sz w:val="24"/>
          <w:szCs w:val="24"/>
        </w:rPr>
        <w:t>,</w:t>
      </w:r>
      <w:r w:rsidRPr="00F13FB3">
        <w:rPr>
          <w:rFonts w:ascii="Times New Roman" w:hAnsi="Times New Roman" w:cs="Times New Roman"/>
          <w:sz w:val="24"/>
          <w:szCs w:val="24"/>
        </w:rPr>
        <w:t xml:space="preserve"> na disputa pela definição de um padrão tecnológico, pode ser vista inclusive como um reflexo da intenção de reduzir riscos por parte dos agentes envolvidos.</w:t>
      </w:r>
    </w:p>
    <w:p w:rsidR="00275052" w:rsidRPr="00F13FB3" w:rsidRDefault="00275052" w:rsidP="00275052">
      <w:pPr>
        <w:spacing w:line="360" w:lineRule="auto"/>
        <w:ind w:firstLine="708"/>
        <w:rPr>
          <w:rFonts w:ascii="Times New Roman" w:hAnsi="Times New Roman" w:cs="Times New Roman"/>
          <w:sz w:val="24"/>
          <w:szCs w:val="24"/>
        </w:rPr>
      </w:pPr>
      <w:r w:rsidRPr="00F13FB3">
        <w:rPr>
          <w:rFonts w:ascii="Times New Roman" w:hAnsi="Times New Roman" w:cs="Times New Roman"/>
          <w:sz w:val="24"/>
          <w:szCs w:val="24"/>
        </w:rPr>
        <w:t>Após a emergência do</w:t>
      </w:r>
      <w:r>
        <w:rPr>
          <w:rFonts w:ascii="Times New Roman" w:hAnsi="Times New Roman" w:cs="Times New Roman"/>
          <w:sz w:val="24"/>
          <w:szCs w:val="24"/>
        </w:rPr>
        <w:t>(</w:t>
      </w:r>
      <w:r w:rsidRPr="00F13FB3">
        <w:rPr>
          <w:rFonts w:ascii="Times New Roman" w:hAnsi="Times New Roman" w:cs="Times New Roman"/>
          <w:sz w:val="24"/>
          <w:szCs w:val="24"/>
        </w:rPr>
        <w:t>s</w:t>
      </w:r>
      <w:r>
        <w:rPr>
          <w:rFonts w:ascii="Times New Roman" w:hAnsi="Times New Roman" w:cs="Times New Roman"/>
          <w:sz w:val="24"/>
          <w:szCs w:val="24"/>
        </w:rPr>
        <w:t>)</w:t>
      </w:r>
      <w:r w:rsidRPr="00F13FB3">
        <w:rPr>
          <w:rFonts w:ascii="Times New Roman" w:hAnsi="Times New Roman" w:cs="Times New Roman"/>
          <w:sz w:val="24"/>
          <w:szCs w:val="24"/>
        </w:rPr>
        <w:t xml:space="preserve"> </w:t>
      </w:r>
      <w:r w:rsidRPr="00D8687F">
        <w:rPr>
          <w:rFonts w:ascii="Times New Roman" w:hAnsi="Times New Roman" w:cs="Times New Roman"/>
          <w:i/>
          <w:sz w:val="24"/>
          <w:szCs w:val="24"/>
        </w:rPr>
        <w:t>design</w:t>
      </w:r>
      <w:r>
        <w:rPr>
          <w:rFonts w:ascii="Times New Roman" w:hAnsi="Times New Roman" w:cs="Times New Roman"/>
          <w:sz w:val="24"/>
          <w:szCs w:val="24"/>
        </w:rPr>
        <w:t>(</w:t>
      </w:r>
      <w:r w:rsidRPr="00F13FB3">
        <w:rPr>
          <w:rFonts w:ascii="Times New Roman" w:hAnsi="Times New Roman" w:cs="Times New Roman"/>
          <w:sz w:val="24"/>
          <w:szCs w:val="24"/>
        </w:rPr>
        <w:t>s</w:t>
      </w:r>
      <w:r>
        <w:rPr>
          <w:rFonts w:ascii="Times New Roman" w:hAnsi="Times New Roman" w:cs="Times New Roman"/>
          <w:sz w:val="24"/>
          <w:szCs w:val="24"/>
        </w:rPr>
        <w:t>)</w:t>
      </w:r>
      <w:r w:rsidRPr="00F13FB3">
        <w:rPr>
          <w:rFonts w:ascii="Times New Roman" w:hAnsi="Times New Roman" w:cs="Times New Roman"/>
          <w:sz w:val="24"/>
          <w:szCs w:val="24"/>
        </w:rPr>
        <w:t xml:space="preserve"> do</w:t>
      </w:r>
      <w:r>
        <w:rPr>
          <w:rFonts w:ascii="Times New Roman" w:hAnsi="Times New Roman" w:cs="Times New Roman"/>
          <w:sz w:val="24"/>
          <w:szCs w:val="24"/>
        </w:rPr>
        <w:t>minante(s)</w:t>
      </w:r>
      <w:r w:rsidRPr="00F13FB3">
        <w:rPr>
          <w:rFonts w:ascii="Times New Roman" w:hAnsi="Times New Roman" w:cs="Times New Roman"/>
          <w:sz w:val="24"/>
          <w:szCs w:val="24"/>
        </w:rPr>
        <w:t>, ocorre a consolidação e disseminação da inovação tecnológica a eles associada. Na segunda fase, as firmas capazes de acompanhar tais designs conseguem crescer e se manter no mercado, ao contrário das que não são capazes de se adaptar. Chega-se assim a uma fase transitória, na qual as inovações de produto diminuem, abrindo espaço para as inovações de processo que buscam explorar economias de escala com a produção em massa e redução dos custos de produção e do preço, consequentemente. Por fim, atinge-se a fase específica</w:t>
      </w:r>
      <w:r>
        <w:rPr>
          <w:rFonts w:ascii="Times New Roman" w:hAnsi="Times New Roman" w:cs="Times New Roman"/>
          <w:sz w:val="24"/>
          <w:szCs w:val="24"/>
        </w:rPr>
        <w:t>,</w:t>
      </w:r>
      <w:r w:rsidRPr="00F13FB3">
        <w:rPr>
          <w:rFonts w:ascii="Times New Roman" w:hAnsi="Times New Roman" w:cs="Times New Roman"/>
          <w:sz w:val="24"/>
          <w:szCs w:val="24"/>
        </w:rPr>
        <w:t xml:space="preserve"> ou madura, na qual as indústrias se concentram no aumento da capacidade e volume de produção, b</w:t>
      </w:r>
      <w:r>
        <w:rPr>
          <w:rFonts w:ascii="Times New Roman" w:hAnsi="Times New Roman" w:cs="Times New Roman"/>
          <w:sz w:val="24"/>
          <w:szCs w:val="24"/>
        </w:rPr>
        <w:t>em como na redução dos custos, e as inovações</w:t>
      </w:r>
      <w:r w:rsidRPr="00F13FB3">
        <w:rPr>
          <w:rFonts w:ascii="Times New Roman" w:hAnsi="Times New Roman" w:cs="Times New Roman"/>
          <w:sz w:val="24"/>
          <w:szCs w:val="24"/>
        </w:rPr>
        <w:t xml:space="preserve"> tanto para</w:t>
      </w:r>
      <w:r>
        <w:rPr>
          <w:rFonts w:ascii="Times New Roman" w:hAnsi="Times New Roman" w:cs="Times New Roman"/>
          <w:sz w:val="24"/>
          <w:szCs w:val="24"/>
        </w:rPr>
        <w:t xml:space="preserve"> produtos quanto para processos</w:t>
      </w:r>
      <w:r w:rsidRPr="00F13FB3">
        <w:rPr>
          <w:rFonts w:ascii="Times New Roman" w:hAnsi="Times New Roman" w:cs="Times New Roman"/>
          <w:sz w:val="24"/>
          <w:szCs w:val="24"/>
        </w:rPr>
        <w:t xml:space="preserve"> diminuem.</w:t>
      </w:r>
    </w:p>
    <w:p w:rsidR="00275052" w:rsidRDefault="00275052" w:rsidP="00275052">
      <w:pPr>
        <w:spacing w:line="360" w:lineRule="auto"/>
        <w:ind w:firstLine="708"/>
        <w:rPr>
          <w:rFonts w:ascii="Times New Roman" w:hAnsi="Times New Roman" w:cs="Times New Roman"/>
          <w:sz w:val="24"/>
          <w:szCs w:val="24"/>
        </w:rPr>
      </w:pPr>
      <w:r w:rsidRPr="00F13FB3">
        <w:rPr>
          <w:rFonts w:ascii="Times New Roman" w:hAnsi="Times New Roman" w:cs="Times New Roman"/>
          <w:sz w:val="24"/>
          <w:szCs w:val="24"/>
        </w:rPr>
        <w:lastRenderedPageBreak/>
        <w:t>Apesar de ser passível de críticas por obviamente não ser aplicável a todas as indústrias, o modelo d</w:t>
      </w:r>
      <w:r>
        <w:rPr>
          <w:rFonts w:ascii="Times New Roman" w:hAnsi="Times New Roman" w:cs="Times New Roman"/>
          <w:sz w:val="24"/>
          <w:szCs w:val="24"/>
        </w:rPr>
        <w:t>e Utterback e Abernathy é</w:t>
      </w:r>
      <w:r w:rsidRPr="00F13FB3">
        <w:rPr>
          <w:rFonts w:ascii="Times New Roman" w:hAnsi="Times New Roman" w:cs="Times New Roman"/>
          <w:sz w:val="24"/>
          <w:szCs w:val="24"/>
        </w:rPr>
        <w:t xml:space="preserve"> útil para a interpretação do processo de inovação que t</w:t>
      </w:r>
      <w:r w:rsidR="0042775C">
        <w:rPr>
          <w:rFonts w:ascii="Times New Roman" w:hAnsi="Times New Roman" w:cs="Times New Roman"/>
          <w:sz w:val="24"/>
          <w:szCs w:val="24"/>
        </w:rPr>
        <w:t>em sido</w:t>
      </w:r>
      <w:r w:rsidRPr="00F13FB3">
        <w:rPr>
          <w:rFonts w:ascii="Times New Roman" w:hAnsi="Times New Roman" w:cs="Times New Roman"/>
          <w:sz w:val="24"/>
          <w:szCs w:val="24"/>
        </w:rPr>
        <w:t xml:space="preserve"> observado na indústria de biocombustíveis.</w:t>
      </w:r>
      <w:r>
        <w:rPr>
          <w:rFonts w:ascii="Times New Roman" w:hAnsi="Times New Roman" w:cs="Times New Roman"/>
          <w:sz w:val="24"/>
          <w:szCs w:val="24"/>
        </w:rPr>
        <w:t xml:space="preserve"> Pode-se dizer, por exemplo,</w:t>
      </w:r>
      <w:r w:rsidRPr="00F13FB3">
        <w:rPr>
          <w:rFonts w:ascii="Times New Roman" w:hAnsi="Times New Roman" w:cs="Times New Roman"/>
          <w:sz w:val="24"/>
          <w:szCs w:val="24"/>
        </w:rPr>
        <w:t xml:space="preserve"> que </w:t>
      </w:r>
      <w:r>
        <w:rPr>
          <w:rFonts w:ascii="Times New Roman" w:hAnsi="Times New Roman" w:cs="Times New Roman"/>
          <w:sz w:val="24"/>
          <w:szCs w:val="24"/>
        </w:rPr>
        <w:t xml:space="preserve">atualmente </w:t>
      </w:r>
      <w:r w:rsidRPr="00F13FB3">
        <w:rPr>
          <w:rFonts w:ascii="Times New Roman" w:hAnsi="Times New Roman" w:cs="Times New Roman"/>
          <w:sz w:val="24"/>
          <w:szCs w:val="24"/>
        </w:rPr>
        <w:t xml:space="preserve">a indústria encontra-se numa fase fluida. </w:t>
      </w:r>
    </w:p>
    <w:p w:rsidR="00275052" w:rsidRDefault="00275052" w:rsidP="00275052">
      <w:pPr>
        <w:spacing w:line="360" w:lineRule="auto"/>
        <w:ind w:firstLine="708"/>
        <w:rPr>
          <w:rFonts w:ascii="Times New Roman" w:hAnsi="Times New Roman" w:cs="Times New Roman"/>
          <w:sz w:val="24"/>
          <w:szCs w:val="24"/>
        </w:rPr>
      </w:pPr>
      <w:r w:rsidRPr="00F13FB3">
        <w:rPr>
          <w:rFonts w:ascii="Times New Roman" w:hAnsi="Times New Roman" w:cs="Times New Roman"/>
          <w:sz w:val="24"/>
          <w:szCs w:val="24"/>
        </w:rPr>
        <w:t>Observando a diversidade de visões, estratégias e abordagens de negócio entre as empresas empreendedoras, não é possível afirmar quais tecnologias deverão emergir como “vencedoras” e se estabelecer como designs dominantes para o mercado. Isso, por um lado, tem implicado um elevado grau de incerteza para as firmas engajadas nesse processo de inovação, mas</w:t>
      </w:r>
      <w:r>
        <w:rPr>
          <w:rFonts w:ascii="Times New Roman" w:hAnsi="Times New Roman" w:cs="Times New Roman"/>
          <w:sz w:val="24"/>
          <w:szCs w:val="24"/>
        </w:rPr>
        <w:t>,</w:t>
      </w:r>
      <w:r w:rsidRPr="00F13FB3">
        <w:rPr>
          <w:rFonts w:ascii="Times New Roman" w:hAnsi="Times New Roman" w:cs="Times New Roman"/>
          <w:sz w:val="24"/>
          <w:szCs w:val="24"/>
        </w:rPr>
        <w:t xml:space="preserve"> por outro</w:t>
      </w:r>
      <w:r>
        <w:rPr>
          <w:rFonts w:ascii="Times New Roman" w:hAnsi="Times New Roman" w:cs="Times New Roman"/>
          <w:sz w:val="24"/>
          <w:szCs w:val="24"/>
        </w:rPr>
        <w:t>,</w:t>
      </w:r>
      <w:r w:rsidRPr="00F13FB3">
        <w:rPr>
          <w:rFonts w:ascii="Times New Roman" w:hAnsi="Times New Roman" w:cs="Times New Roman"/>
          <w:sz w:val="24"/>
          <w:szCs w:val="24"/>
        </w:rPr>
        <w:t xml:space="preserve"> pode ser enxergado como oportunidade para novos entrantes desafiarem as capacitações das empresas estabelecidas no setor de energia.</w:t>
      </w:r>
    </w:p>
    <w:p w:rsidR="000023BD" w:rsidRDefault="000023BD" w:rsidP="000023BD">
      <w:pPr>
        <w:spacing w:line="360" w:lineRule="auto"/>
        <w:ind w:firstLine="708"/>
        <w:rPr>
          <w:rFonts w:ascii="Times New Roman" w:hAnsi="Times New Roman" w:cs="Times New Roman"/>
          <w:sz w:val="24"/>
          <w:szCs w:val="24"/>
        </w:rPr>
      </w:pPr>
      <w:r>
        <w:rPr>
          <w:rFonts w:ascii="Times New Roman" w:hAnsi="Times New Roman" w:cs="Times New Roman"/>
          <w:sz w:val="24"/>
          <w:szCs w:val="24"/>
        </w:rPr>
        <w:t>Acerca das oportunidade</w:t>
      </w:r>
      <w:r w:rsidR="00E04B62">
        <w:rPr>
          <w:rFonts w:ascii="Times New Roman" w:hAnsi="Times New Roman" w:cs="Times New Roman"/>
          <w:sz w:val="24"/>
          <w:szCs w:val="24"/>
        </w:rPr>
        <w:t>s tecnológicas existentes para empresas de diferentes setores</w:t>
      </w:r>
      <w:r>
        <w:rPr>
          <w:rFonts w:ascii="Times New Roman" w:hAnsi="Times New Roman" w:cs="Times New Roman"/>
          <w:sz w:val="24"/>
          <w:szCs w:val="24"/>
        </w:rPr>
        <w:t xml:space="preserve"> </w:t>
      </w:r>
      <w:r w:rsidR="00E04B62">
        <w:rPr>
          <w:rFonts w:ascii="Times New Roman" w:hAnsi="Times New Roman" w:cs="Times New Roman"/>
          <w:sz w:val="24"/>
          <w:szCs w:val="24"/>
        </w:rPr>
        <w:t xml:space="preserve">no </w:t>
      </w:r>
      <w:r>
        <w:rPr>
          <w:rFonts w:ascii="Times New Roman" w:hAnsi="Times New Roman" w:cs="Times New Roman"/>
          <w:sz w:val="24"/>
          <w:szCs w:val="24"/>
        </w:rPr>
        <w:t>desenvol</w:t>
      </w:r>
      <w:r w:rsidR="00E04B62">
        <w:rPr>
          <w:rFonts w:ascii="Times New Roman" w:hAnsi="Times New Roman" w:cs="Times New Roman"/>
          <w:sz w:val="24"/>
          <w:szCs w:val="24"/>
        </w:rPr>
        <w:t>vimento de novos bioprodutos, Teece et al. (1997) ressaltam a importância das experiências já acumuladas na definição das áreas que receberão os investimentos em P&amp;D:</w:t>
      </w:r>
    </w:p>
    <w:p w:rsidR="000023BD" w:rsidRDefault="000023BD" w:rsidP="000023BD">
      <w:pPr>
        <w:spacing w:line="360" w:lineRule="auto"/>
        <w:ind w:firstLine="708"/>
        <w:rPr>
          <w:rFonts w:ascii="Times New Roman" w:hAnsi="Times New Roman" w:cs="Times New Roman"/>
          <w:sz w:val="24"/>
          <w:szCs w:val="24"/>
        </w:rPr>
      </w:pPr>
    </w:p>
    <w:p w:rsidR="000023BD" w:rsidRPr="000A36FA" w:rsidRDefault="000023BD" w:rsidP="00E34D2C">
      <w:pPr>
        <w:ind w:left="2268"/>
        <w:rPr>
          <w:rFonts w:ascii="Times New Roman" w:hAnsi="Times New Roman" w:cs="Times New Roman"/>
          <w:lang w:val="en-US"/>
        </w:rPr>
      </w:pPr>
      <w:r w:rsidRPr="000A36FA">
        <w:rPr>
          <w:rFonts w:ascii="Times New Roman" w:hAnsi="Times New Roman" w:cs="Times New Roman"/>
          <w:lang w:val="en-US"/>
        </w:rPr>
        <w:t>The  depth  and width  of technological  opportunities  in  the  neighborhood of  a  firm's  prior  research  activities  thus  are  likely to  impact  a  firm's  options  with  respect  to  both the  amount  and  level  of  R&amp;D  activity  that  it can  justify.  In  addition,  a  firm's  past  experience conditions  the  alternatives management  is  able  to perceive.  Thus, not only do firms in the same industry face 'menus' with different costs associated  with  particular  technological  choices,  they also  are  looking  at  menus  containing  different choices (TEECE et al.; 1997, p. 524).</w:t>
      </w:r>
    </w:p>
    <w:p w:rsidR="000023BD" w:rsidRDefault="000023BD" w:rsidP="00275052">
      <w:pPr>
        <w:spacing w:line="360" w:lineRule="auto"/>
        <w:ind w:firstLine="708"/>
        <w:rPr>
          <w:rFonts w:ascii="Times New Roman" w:hAnsi="Times New Roman" w:cs="Times New Roman"/>
          <w:sz w:val="24"/>
          <w:szCs w:val="24"/>
          <w:lang w:val="en-US"/>
        </w:rPr>
      </w:pPr>
    </w:p>
    <w:p w:rsidR="00E04B62" w:rsidRPr="00E04B62" w:rsidRDefault="00E04B62" w:rsidP="00275052">
      <w:pPr>
        <w:spacing w:line="360" w:lineRule="auto"/>
        <w:ind w:firstLine="708"/>
        <w:rPr>
          <w:rFonts w:ascii="Times New Roman" w:hAnsi="Times New Roman" w:cs="Times New Roman"/>
          <w:sz w:val="24"/>
          <w:szCs w:val="24"/>
        </w:rPr>
      </w:pPr>
      <w:r w:rsidRPr="00E04B62">
        <w:rPr>
          <w:rFonts w:ascii="Times New Roman" w:hAnsi="Times New Roman" w:cs="Times New Roman"/>
          <w:sz w:val="24"/>
          <w:szCs w:val="24"/>
        </w:rPr>
        <w:t xml:space="preserve">Essa visão </w:t>
      </w:r>
      <w:r w:rsidR="008B1BF5">
        <w:rPr>
          <w:rFonts w:ascii="Times New Roman" w:hAnsi="Times New Roman" w:cs="Times New Roman"/>
          <w:sz w:val="24"/>
          <w:szCs w:val="24"/>
        </w:rPr>
        <w:t xml:space="preserve">nos </w:t>
      </w:r>
      <w:r w:rsidR="00234BA2">
        <w:rPr>
          <w:rFonts w:ascii="Times New Roman" w:hAnsi="Times New Roman" w:cs="Times New Roman"/>
          <w:sz w:val="24"/>
          <w:szCs w:val="24"/>
        </w:rPr>
        <w:t>auxilia na compreensão d</w:t>
      </w:r>
      <w:r>
        <w:rPr>
          <w:rFonts w:ascii="Times New Roman" w:hAnsi="Times New Roman" w:cs="Times New Roman"/>
          <w:sz w:val="24"/>
          <w:szCs w:val="24"/>
        </w:rPr>
        <w:t xml:space="preserve">os fatos que caracterizam a fase fluida </w:t>
      </w:r>
      <w:r w:rsidR="008B1BF5">
        <w:rPr>
          <w:rFonts w:ascii="Times New Roman" w:hAnsi="Times New Roman" w:cs="Times New Roman"/>
          <w:sz w:val="24"/>
          <w:szCs w:val="24"/>
        </w:rPr>
        <w:t>descrita acima e nos permite concluir que deverão coexistir projetos de inovação em diferentes direções, isto é, utilizando diferentes matérias-primas e processos no desenvolvimento de produtos destinados a mercados diferentes, na construção da bioindústria do futuro.</w:t>
      </w:r>
    </w:p>
    <w:p w:rsidR="00275052" w:rsidRPr="00E04B62" w:rsidRDefault="00275052" w:rsidP="00622A43">
      <w:pPr>
        <w:pStyle w:val="Ttulo1"/>
      </w:pPr>
    </w:p>
    <w:p w:rsidR="00275052" w:rsidRPr="00D367B9" w:rsidRDefault="00275052" w:rsidP="00D367B9">
      <w:pPr>
        <w:pStyle w:val="Ttulo2"/>
      </w:pPr>
      <w:bookmarkStart w:id="5" w:name="_Toc333911335"/>
      <w:r w:rsidRPr="00D367B9">
        <w:t>1.4 O papel das instituições na mudança tecnológica</w:t>
      </w:r>
      <w:bookmarkEnd w:id="5"/>
    </w:p>
    <w:p w:rsidR="00275052" w:rsidRPr="00F13FB3" w:rsidRDefault="00275052" w:rsidP="00275052">
      <w:pPr>
        <w:spacing w:line="360" w:lineRule="auto"/>
        <w:ind w:firstLine="708"/>
        <w:rPr>
          <w:rFonts w:ascii="Times New Roman" w:hAnsi="Times New Roman" w:cs="Times New Roman"/>
          <w:sz w:val="24"/>
          <w:szCs w:val="24"/>
        </w:rPr>
      </w:pPr>
    </w:p>
    <w:p w:rsidR="00275052" w:rsidRDefault="00275052" w:rsidP="00275052">
      <w:pPr>
        <w:spacing w:line="360" w:lineRule="auto"/>
        <w:ind w:firstLine="708"/>
        <w:rPr>
          <w:rFonts w:ascii="Times New Roman" w:hAnsi="Times New Roman" w:cs="Times New Roman"/>
          <w:sz w:val="24"/>
          <w:szCs w:val="24"/>
        </w:rPr>
      </w:pPr>
      <w:r>
        <w:rPr>
          <w:rFonts w:ascii="Times New Roman" w:hAnsi="Times New Roman" w:cs="Times New Roman"/>
          <w:sz w:val="24"/>
          <w:szCs w:val="24"/>
        </w:rPr>
        <w:t>De fato, a mudança tecnológica</w:t>
      </w:r>
      <w:r w:rsidRPr="00F13FB3">
        <w:rPr>
          <w:rFonts w:ascii="Times New Roman" w:hAnsi="Times New Roman" w:cs="Times New Roman"/>
          <w:sz w:val="24"/>
          <w:szCs w:val="24"/>
        </w:rPr>
        <w:t xml:space="preserve"> não</w:t>
      </w:r>
      <w:r>
        <w:rPr>
          <w:rFonts w:ascii="Times New Roman" w:hAnsi="Times New Roman" w:cs="Times New Roman"/>
          <w:sz w:val="24"/>
          <w:szCs w:val="24"/>
        </w:rPr>
        <w:t xml:space="preserve"> está</w:t>
      </w:r>
      <w:r w:rsidRPr="00F13FB3">
        <w:rPr>
          <w:rFonts w:ascii="Times New Roman" w:hAnsi="Times New Roman" w:cs="Times New Roman"/>
          <w:sz w:val="24"/>
          <w:szCs w:val="24"/>
        </w:rPr>
        <w:t xml:space="preserve"> só associada a oportunidades tecnológicas que surgem de atividades</w:t>
      </w:r>
      <w:r>
        <w:rPr>
          <w:rFonts w:ascii="Times New Roman" w:hAnsi="Times New Roman" w:cs="Times New Roman"/>
          <w:sz w:val="24"/>
          <w:szCs w:val="24"/>
        </w:rPr>
        <w:t xml:space="preserve"> </w:t>
      </w:r>
      <w:r w:rsidRPr="00F13FB3">
        <w:rPr>
          <w:rFonts w:ascii="Times New Roman" w:hAnsi="Times New Roman" w:cs="Times New Roman"/>
          <w:sz w:val="24"/>
          <w:szCs w:val="24"/>
        </w:rPr>
        <w:t>de P&amp;D, mas também a necessidades d</w:t>
      </w:r>
      <w:r w:rsidR="00097472">
        <w:rPr>
          <w:rFonts w:ascii="Times New Roman" w:hAnsi="Times New Roman" w:cs="Times New Roman"/>
          <w:sz w:val="24"/>
          <w:szCs w:val="24"/>
        </w:rPr>
        <w:t>o mercado. A maneira como</w:t>
      </w:r>
      <w:r w:rsidRPr="00F13FB3">
        <w:rPr>
          <w:rFonts w:ascii="Times New Roman" w:hAnsi="Times New Roman" w:cs="Times New Roman"/>
          <w:sz w:val="24"/>
          <w:szCs w:val="24"/>
        </w:rPr>
        <w:t xml:space="preserve"> evol</w:t>
      </w:r>
      <w:r>
        <w:rPr>
          <w:rFonts w:ascii="Times New Roman" w:hAnsi="Times New Roman" w:cs="Times New Roman"/>
          <w:sz w:val="24"/>
          <w:szCs w:val="24"/>
        </w:rPr>
        <w:t>uem as tecnologias, segundo a abordagem do ciclo de vida, está de certa forma</w:t>
      </w:r>
      <w:r w:rsidRPr="00F13FB3">
        <w:rPr>
          <w:rFonts w:ascii="Times New Roman" w:hAnsi="Times New Roman" w:cs="Times New Roman"/>
          <w:sz w:val="24"/>
          <w:szCs w:val="24"/>
        </w:rPr>
        <w:t xml:space="preserve"> associada à noção de que o mercado é principal determinante de seleção. </w:t>
      </w:r>
    </w:p>
    <w:p w:rsidR="00275052" w:rsidRDefault="00275052" w:rsidP="00275052">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Ainda que esta seja uma abordagem convencional, é importante ressaltar que o poder público também tem capacidade de formar, fomentar e até mesmo pôr fim a determinados </w:t>
      </w:r>
      <w:r>
        <w:rPr>
          <w:rFonts w:ascii="Times New Roman" w:hAnsi="Times New Roman" w:cs="Times New Roman"/>
          <w:sz w:val="24"/>
          <w:szCs w:val="24"/>
        </w:rPr>
        <w:lastRenderedPageBreak/>
        <w:t>mercados. Quando as políticas públicas levam em consideração que a</w:t>
      </w:r>
      <w:r w:rsidRPr="00F13FB3">
        <w:rPr>
          <w:rFonts w:ascii="Times New Roman" w:hAnsi="Times New Roman" w:cs="Times New Roman"/>
          <w:sz w:val="24"/>
          <w:szCs w:val="24"/>
        </w:rPr>
        <w:t xml:space="preserve"> experiência comercial traz prát</w:t>
      </w:r>
      <w:r>
        <w:rPr>
          <w:rFonts w:ascii="Times New Roman" w:hAnsi="Times New Roman" w:cs="Times New Roman"/>
          <w:sz w:val="24"/>
          <w:szCs w:val="24"/>
        </w:rPr>
        <w:t>ica aos produtores, elas permitem que as empresas experimentem</w:t>
      </w:r>
      <w:r w:rsidRPr="00F13FB3">
        <w:rPr>
          <w:rFonts w:ascii="Times New Roman" w:hAnsi="Times New Roman" w:cs="Times New Roman"/>
          <w:sz w:val="24"/>
          <w:szCs w:val="24"/>
        </w:rPr>
        <w:t xml:space="preserve"> problemas e oportunidades que a atividade isolada de P&amp;D não permite.</w:t>
      </w:r>
      <w:r w:rsidRPr="00C339B3">
        <w:rPr>
          <w:rFonts w:ascii="Times New Roman" w:hAnsi="Times New Roman" w:cs="Times New Roman"/>
          <w:sz w:val="24"/>
          <w:szCs w:val="24"/>
        </w:rPr>
        <w:t xml:space="preserve"> </w:t>
      </w:r>
      <w:r w:rsidRPr="00F13FB3">
        <w:rPr>
          <w:rFonts w:ascii="Times New Roman" w:hAnsi="Times New Roman" w:cs="Times New Roman"/>
          <w:sz w:val="24"/>
          <w:szCs w:val="24"/>
        </w:rPr>
        <w:t>Suurs e Hekkert (2009) afirmam que o processo de aprendizad</w:t>
      </w:r>
      <w:r>
        <w:rPr>
          <w:rFonts w:ascii="Times New Roman" w:hAnsi="Times New Roman" w:cs="Times New Roman"/>
          <w:sz w:val="24"/>
          <w:szCs w:val="24"/>
        </w:rPr>
        <w:t>o na prática, no estágio de comercialização,</w:t>
      </w:r>
      <w:r w:rsidRPr="00F13FB3">
        <w:rPr>
          <w:rFonts w:ascii="Times New Roman" w:hAnsi="Times New Roman" w:cs="Times New Roman"/>
          <w:sz w:val="24"/>
          <w:szCs w:val="24"/>
        </w:rPr>
        <w:t xml:space="preserve"> se mostrou crítico na solução de problemas tecnológicos, bem como na redução de custos de novas tecnologias. </w:t>
      </w:r>
    </w:p>
    <w:p w:rsidR="00275052" w:rsidRPr="00F13FB3" w:rsidRDefault="00275052" w:rsidP="00275052">
      <w:pPr>
        <w:spacing w:line="360" w:lineRule="auto"/>
        <w:ind w:firstLine="709"/>
        <w:rPr>
          <w:rFonts w:ascii="Times New Roman" w:hAnsi="Times New Roman" w:cs="Times New Roman"/>
          <w:sz w:val="24"/>
          <w:szCs w:val="24"/>
        </w:rPr>
      </w:pPr>
    </w:p>
    <w:p w:rsidR="00275052" w:rsidRDefault="00275052" w:rsidP="00275052">
      <w:pPr>
        <w:ind w:left="2268"/>
        <w:rPr>
          <w:rFonts w:ascii="Times New Roman" w:hAnsi="Times New Roman" w:cs="Times New Roman"/>
          <w:lang w:val="en-US"/>
        </w:rPr>
      </w:pPr>
      <w:r w:rsidRPr="00F13FB3">
        <w:rPr>
          <w:rFonts w:ascii="Times New Roman" w:hAnsi="Times New Roman" w:cs="Times New Roman"/>
          <w:lang w:val="en-US"/>
        </w:rPr>
        <w:t>In reality, technological change is a non-linear development which is constituted by numerous processes. These include R&amp;D, and also production and market formation, running in parallel, and thereby reinforcing each other through feedback mechanisms. If such feedbacks are neglected, by policy makers or entrepreneurs, this is likely to result in the failure of support policies. This balancing exercise becomes even more challenging when one realises that a technological trajectory, in many cases, does not consist of a single technology being invented, developed and diffused in the market, but of various technologies in different development stages: technology gene</w:t>
      </w:r>
      <w:r>
        <w:rPr>
          <w:rFonts w:ascii="Times New Roman" w:hAnsi="Times New Roman" w:cs="Times New Roman"/>
          <w:lang w:val="en-US"/>
        </w:rPr>
        <w:t>rations</w:t>
      </w:r>
      <w:r w:rsidR="00502BA3">
        <w:rPr>
          <w:rFonts w:ascii="Times New Roman" w:hAnsi="Times New Roman" w:cs="Times New Roman"/>
          <w:lang w:val="en-US"/>
        </w:rPr>
        <w:t xml:space="preserve"> </w:t>
      </w:r>
      <w:r w:rsidR="00DC78E8">
        <w:rPr>
          <w:rFonts w:ascii="Times New Roman" w:hAnsi="Times New Roman" w:cs="Times New Roman"/>
          <w:lang w:val="en-US"/>
        </w:rPr>
        <w:t xml:space="preserve">(SUURS; HEKKERT, </w:t>
      </w:r>
      <w:r w:rsidR="00502BA3" w:rsidRPr="00502BA3">
        <w:rPr>
          <w:rFonts w:ascii="Times New Roman" w:hAnsi="Times New Roman" w:cs="Times New Roman"/>
          <w:lang w:val="en-US"/>
        </w:rPr>
        <w:t>2009, p. 699-670)</w:t>
      </w:r>
      <w:r w:rsidRPr="00F13FB3">
        <w:rPr>
          <w:rFonts w:ascii="Times New Roman" w:hAnsi="Times New Roman" w:cs="Times New Roman"/>
          <w:lang w:val="en-US"/>
        </w:rPr>
        <w:t>.</w:t>
      </w:r>
    </w:p>
    <w:p w:rsidR="00275052" w:rsidRDefault="00275052" w:rsidP="00275052">
      <w:pPr>
        <w:ind w:left="1418"/>
        <w:jc w:val="right"/>
        <w:rPr>
          <w:rFonts w:ascii="Times New Roman" w:hAnsi="Times New Roman" w:cs="Times New Roman"/>
          <w:lang w:val="en-US"/>
        </w:rPr>
      </w:pPr>
    </w:p>
    <w:p w:rsidR="00275052" w:rsidRPr="00E85380" w:rsidRDefault="00275052" w:rsidP="00275052">
      <w:pPr>
        <w:ind w:left="1418"/>
        <w:rPr>
          <w:rFonts w:ascii="Times New Roman" w:hAnsi="Times New Roman" w:cs="Times New Roman"/>
          <w:sz w:val="24"/>
          <w:szCs w:val="24"/>
          <w:lang w:val="en-US"/>
        </w:rPr>
      </w:pPr>
      <w:r w:rsidRPr="00F13FB3">
        <w:rPr>
          <w:rFonts w:ascii="Times New Roman" w:hAnsi="Times New Roman" w:cs="Times New Roman"/>
          <w:lang w:val="en-US"/>
        </w:rPr>
        <w:tab/>
      </w:r>
    </w:p>
    <w:p w:rsidR="00275052" w:rsidRDefault="00275052" w:rsidP="00275052">
      <w:pPr>
        <w:spacing w:line="360" w:lineRule="auto"/>
        <w:ind w:firstLine="708"/>
        <w:rPr>
          <w:rFonts w:ascii="Times New Roman" w:hAnsi="Times New Roman" w:cs="Times New Roman"/>
          <w:sz w:val="24"/>
          <w:szCs w:val="24"/>
        </w:rPr>
      </w:pPr>
      <w:r w:rsidRPr="00AB121F">
        <w:rPr>
          <w:rFonts w:ascii="Times New Roman" w:hAnsi="Times New Roman" w:cs="Times New Roman"/>
          <w:sz w:val="24"/>
          <w:szCs w:val="24"/>
        </w:rPr>
        <w:t>Os</w:t>
      </w:r>
      <w:r>
        <w:rPr>
          <w:rFonts w:ascii="Times New Roman" w:hAnsi="Times New Roman" w:cs="Times New Roman"/>
          <w:sz w:val="24"/>
          <w:szCs w:val="24"/>
        </w:rPr>
        <w:t xml:space="preserve"> formuladores de políticas em diversos países percebem que fatores “mercado” e “a</w:t>
      </w:r>
      <w:r w:rsidR="00097472">
        <w:rPr>
          <w:rFonts w:ascii="Times New Roman" w:hAnsi="Times New Roman" w:cs="Times New Roman"/>
          <w:sz w:val="24"/>
          <w:szCs w:val="24"/>
        </w:rPr>
        <w:t>tividades de P&amp;D” são igualmente</w:t>
      </w:r>
      <w:r>
        <w:rPr>
          <w:rFonts w:ascii="Times New Roman" w:hAnsi="Times New Roman" w:cs="Times New Roman"/>
          <w:sz w:val="24"/>
          <w:szCs w:val="24"/>
        </w:rPr>
        <w:t xml:space="preserve"> importantes, e as relações de interação entre elas não devem ser negligenciadas por aqueles que estudam evolução industrial e tecnológica, especialmente quando se trata de tecnologias em diferentes estágios de desenvolvimento, isto é, de gerações tecnológicas, como é o caso dos biocombustíveis. Desse modo,</w:t>
      </w:r>
      <w:r w:rsidR="00097472">
        <w:rPr>
          <w:rFonts w:ascii="Times New Roman" w:hAnsi="Times New Roman" w:cs="Times New Roman"/>
          <w:sz w:val="24"/>
          <w:szCs w:val="24"/>
        </w:rPr>
        <w:t xml:space="preserve"> é interessante notar que</w:t>
      </w:r>
      <w:r>
        <w:rPr>
          <w:rFonts w:ascii="Times New Roman" w:hAnsi="Times New Roman" w:cs="Times New Roman"/>
          <w:sz w:val="24"/>
          <w:szCs w:val="24"/>
        </w:rPr>
        <w:t xml:space="preserve"> as políticas de apoio à inovação se mostram fundamentais tanto para </w:t>
      </w:r>
      <w:r w:rsidR="00097472">
        <w:rPr>
          <w:rFonts w:ascii="Times New Roman" w:hAnsi="Times New Roman" w:cs="Times New Roman"/>
          <w:sz w:val="24"/>
          <w:szCs w:val="24"/>
        </w:rPr>
        <w:t>as atividades de P&amp;D, quanto para o desenvolvimento dos próprios</w:t>
      </w:r>
      <w:r>
        <w:rPr>
          <w:rFonts w:ascii="Times New Roman" w:hAnsi="Times New Roman" w:cs="Times New Roman"/>
          <w:sz w:val="24"/>
          <w:szCs w:val="24"/>
        </w:rPr>
        <w:t xml:space="preserve"> mercados.</w:t>
      </w:r>
    </w:p>
    <w:p w:rsidR="00275052" w:rsidRPr="00F13FB3" w:rsidRDefault="00275052" w:rsidP="00275052">
      <w:pPr>
        <w:spacing w:line="360" w:lineRule="auto"/>
        <w:ind w:firstLine="708"/>
        <w:rPr>
          <w:rFonts w:ascii="Times New Roman" w:hAnsi="Times New Roman" w:cs="Times New Roman"/>
          <w:sz w:val="24"/>
          <w:szCs w:val="24"/>
        </w:rPr>
      </w:pPr>
      <w:r>
        <w:rPr>
          <w:rFonts w:ascii="Times New Roman" w:hAnsi="Times New Roman" w:cs="Times New Roman"/>
          <w:sz w:val="24"/>
          <w:szCs w:val="24"/>
        </w:rPr>
        <w:t>Nelson (1994) analisou</w:t>
      </w:r>
      <w:r w:rsidRPr="00F13FB3">
        <w:rPr>
          <w:rFonts w:ascii="Times New Roman" w:hAnsi="Times New Roman" w:cs="Times New Roman"/>
          <w:sz w:val="24"/>
          <w:szCs w:val="24"/>
        </w:rPr>
        <w:t xml:space="preserve"> critic</w:t>
      </w:r>
      <w:r>
        <w:rPr>
          <w:rFonts w:ascii="Times New Roman" w:hAnsi="Times New Roman" w:cs="Times New Roman"/>
          <w:sz w:val="24"/>
          <w:szCs w:val="24"/>
        </w:rPr>
        <w:t>amente o modelo</w:t>
      </w:r>
      <w:r w:rsidRPr="00F13FB3">
        <w:rPr>
          <w:rFonts w:ascii="Times New Roman" w:hAnsi="Times New Roman" w:cs="Times New Roman"/>
          <w:sz w:val="24"/>
          <w:szCs w:val="24"/>
        </w:rPr>
        <w:t xml:space="preserve"> proposto por A</w:t>
      </w:r>
      <w:r w:rsidR="00097472">
        <w:rPr>
          <w:rFonts w:ascii="Times New Roman" w:hAnsi="Times New Roman" w:cs="Times New Roman"/>
          <w:sz w:val="24"/>
          <w:szCs w:val="24"/>
        </w:rPr>
        <w:t>bernathy e Utterback, defendendo</w:t>
      </w:r>
      <w:r w:rsidRPr="00F13FB3">
        <w:rPr>
          <w:rFonts w:ascii="Times New Roman" w:hAnsi="Times New Roman" w:cs="Times New Roman"/>
          <w:sz w:val="24"/>
          <w:szCs w:val="24"/>
        </w:rPr>
        <w:t xml:space="preserve"> que o design dominante nem sempre tem a ver com projeções de eficiência econômica de longo prazo. Em vez disso, eles podem estar muito mais associados a disputas de poder, consensos </w:t>
      </w:r>
      <w:r>
        <w:rPr>
          <w:rFonts w:ascii="Times New Roman" w:hAnsi="Times New Roman" w:cs="Times New Roman"/>
          <w:sz w:val="24"/>
          <w:szCs w:val="24"/>
        </w:rPr>
        <w:t>e coalizões sociais. Assim</w:t>
      </w:r>
      <w:r w:rsidRPr="00F13FB3">
        <w:rPr>
          <w:rFonts w:ascii="Times New Roman" w:hAnsi="Times New Roman" w:cs="Times New Roman"/>
          <w:sz w:val="24"/>
          <w:szCs w:val="24"/>
        </w:rPr>
        <w:t xml:space="preserve">, forças políticas e sociais podem ter influência </w:t>
      </w:r>
      <w:r>
        <w:rPr>
          <w:rFonts w:ascii="Times New Roman" w:hAnsi="Times New Roman" w:cs="Times New Roman"/>
          <w:sz w:val="24"/>
          <w:szCs w:val="24"/>
        </w:rPr>
        <w:t>muito maior que as forças de mercado</w:t>
      </w:r>
      <w:r w:rsidRPr="00F13FB3">
        <w:rPr>
          <w:rFonts w:ascii="Times New Roman" w:hAnsi="Times New Roman" w:cs="Times New Roman"/>
          <w:sz w:val="24"/>
          <w:szCs w:val="24"/>
        </w:rPr>
        <w:t xml:space="preserve"> na definição de trajetórias tecnológicas e no processo de evolução industrial.</w:t>
      </w:r>
    </w:p>
    <w:p w:rsidR="00275052" w:rsidRPr="00F13FB3" w:rsidRDefault="00275052" w:rsidP="00275052">
      <w:pPr>
        <w:spacing w:line="360" w:lineRule="auto"/>
        <w:ind w:firstLine="708"/>
        <w:rPr>
          <w:rFonts w:ascii="Times New Roman" w:hAnsi="Times New Roman" w:cs="Times New Roman"/>
          <w:sz w:val="24"/>
          <w:szCs w:val="24"/>
        </w:rPr>
      </w:pPr>
    </w:p>
    <w:p w:rsidR="00275052" w:rsidRPr="00F13FB3" w:rsidRDefault="00275052" w:rsidP="00275052">
      <w:pPr>
        <w:ind w:left="2268"/>
        <w:rPr>
          <w:rFonts w:ascii="Times New Roman" w:hAnsi="Times New Roman" w:cs="Times New Roman"/>
          <w:lang w:val="en-US"/>
        </w:rPr>
      </w:pPr>
      <w:r w:rsidRPr="00F13FB3">
        <w:rPr>
          <w:rFonts w:ascii="Times New Roman" w:hAnsi="Times New Roman" w:cs="Times New Roman"/>
          <w:lang w:val="en-US"/>
        </w:rPr>
        <w:t xml:space="preserve">[…] a number of detailed historical accounts document that various features of the institutional environment themselves tend to adapt and change in response to pushes and pulls exerted by the development of a new industry. The processes involved here are not market processes, at least not of the standard variety, but involve the forming of collective bodies, decisions of voluntary organizations, government agencies and </w:t>
      </w:r>
      <w:r>
        <w:rPr>
          <w:rFonts w:ascii="Times New Roman" w:hAnsi="Times New Roman" w:cs="Times New Roman"/>
          <w:lang w:val="en-US"/>
        </w:rPr>
        <w:t xml:space="preserve">political action (NELSON, 1994, </w:t>
      </w:r>
      <w:r w:rsidRPr="00F13FB3">
        <w:rPr>
          <w:rFonts w:ascii="Times New Roman" w:hAnsi="Times New Roman" w:cs="Times New Roman"/>
          <w:lang w:val="en-US"/>
        </w:rPr>
        <w:t>p. 327).</w:t>
      </w:r>
    </w:p>
    <w:p w:rsidR="00275052" w:rsidRPr="009055B8" w:rsidRDefault="00275052" w:rsidP="00275052">
      <w:pPr>
        <w:spacing w:line="360" w:lineRule="auto"/>
        <w:rPr>
          <w:rFonts w:ascii="Times New Roman" w:hAnsi="Times New Roman" w:cs="Times New Roman"/>
          <w:sz w:val="24"/>
          <w:szCs w:val="24"/>
          <w:lang w:val="en-US"/>
        </w:rPr>
      </w:pPr>
    </w:p>
    <w:p w:rsidR="00275052" w:rsidRPr="00E26A2E" w:rsidRDefault="00F85425" w:rsidP="00275052">
      <w:pPr>
        <w:spacing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Como será discutido no próximo capítulo, o</w:t>
      </w:r>
      <w:r w:rsidR="00275052" w:rsidRPr="00F13FB3">
        <w:rPr>
          <w:rFonts w:ascii="Times New Roman" w:hAnsi="Times New Roman" w:cs="Times New Roman"/>
          <w:sz w:val="24"/>
          <w:szCs w:val="24"/>
        </w:rPr>
        <w:t xml:space="preserve"> processo de evolução dos parâmetros técnicos agroindustriais </w:t>
      </w:r>
      <w:r w:rsidR="00F05F0C">
        <w:rPr>
          <w:rFonts w:ascii="Times New Roman" w:hAnsi="Times New Roman" w:cs="Times New Roman"/>
          <w:sz w:val="24"/>
          <w:szCs w:val="24"/>
        </w:rPr>
        <w:t xml:space="preserve">na indústria sucroalcoleira </w:t>
      </w:r>
      <w:r w:rsidR="00275052" w:rsidRPr="00F13FB3">
        <w:rPr>
          <w:rFonts w:ascii="Times New Roman" w:hAnsi="Times New Roman" w:cs="Times New Roman"/>
          <w:sz w:val="24"/>
          <w:szCs w:val="24"/>
        </w:rPr>
        <w:t>foi acompanhado da construção de um arcabouço legal e institucional que</w:t>
      </w:r>
      <w:r>
        <w:rPr>
          <w:rFonts w:ascii="Times New Roman" w:hAnsi="Times New Roman" w:cs="Times New Roman"/>
          <w:sz w:val="24"/>
          <w:szCs w:val="24"/>
        </w:rPr>
        <w:t xml:space="preserve"> permitiu a firme participação</w:t>
      </w:r>
      <w:r w:rsidR="00275052" w:rsidRPr="00F13FB3">
        <w:rPr>
          <w:rFonts w:ascii="Times New Roman" w:hAnsi="Times New Roman" w:cs="Times New Roman"/>
          <w:sz w:val="24"/>
          <w:szCs w:val="24"/>
        </w:rPr>
        <w:t xml:space="preserve"> do etanol na matriz energética brasileira.</w:t>
      </w:r>
      <w:r w:rsidR="00275052" w:rsidRPr="0017458B">
        <w:rPr>
          <w:rFonts w:ascii="Times New Roman" w:hAnsi="Times New Roman" w:cs="Times New Roman"/>
          <w:sz w:val="24"/>
          <w:szCs w:val="24"/>
        </w:rPr>
        <w:t xml:space="preserve"> </w:t>
      </w:r>
      <w:r w:rsidR="00275052">
        <w:rPr>
          <w:rFonts w:ascii="Times New Roman" w:hAnsi="Times New Roman" w:cs="Times New Roman"/>
          <w:sz w:val="24"/>
          <w:szCs w:val="24"/>
        </w:rPr>
        <w:t>O desempenho de</w:t>
      </w:r>
      <w:r w:rsidR="00275052" w:rsidRPr="00F13FB3">
        <w:rPr>
          <w:rFonts w:ascii="Times New Roman" w:hAnsi="Times New Roman" w:cs="Times New Roman"/>
          <w:sz w:val="24"/>
          <w:szCs w:val="24"/>
        </w:rPr>
        <w:t xml:space="preserve"> uma indústria que requer insumos e habilida</w:t>
      </w:r>
      <w:r w:rsidR="00275052">
        <w:rPr>
          <w:rFonts w:ascii="Times New Roman" w:hAnsi="Times New Roman" w:cs="Times New Roman"/>
          <w:sz w:val="24"/>
          <w:szCs w:val="24"/>
        </w:rPr>
        <w:t xml:space="preserve">des específicas </w:t>
      </w:r>
      <w:r w:rsidR="00275052" w:rsidRPr="00F13FB3">
        <w:rPr>
          <w:rFonts w:ascii="Times New Roman" w:hAnsi="Times New Roman" w:cs="Times New Roman"/>
          <w:sz w:val="24"/>
          <w:szCs w:val="24"/>
        </w:rPr>
        <w:t>é fortemente condicionado pela velocidade e eficácia com que cresce uma estrutura de apoio a ela.</w:t>
      </w:r>
    </w:p>
    <w:p w:rsidR="00275052" w:rsidRDefault="00275052" w:rsidP="00275052">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A importância de fatores extramercado na definição de trajetórias tecnológicas é também levada em consideração no trabalho desenvolvido por Geels (2004), que </w:t>
      </w:r>
      <w:r w:rsidRPr="008C56E0">
        <w:rPr>
          <w:rFonts w:ascii="Times New Roman" w:hAnsi="Times New Roman" w:cs="Times New Roman"/>
          <w:sz w:val="24"/>
          <w:szCs w:val="24"/>
        </w:rPr>
        <w:t>trata a inovação em um sentido mais amplo, introduzi</w:t>
      </w:r>
      <w:r>
        <w:rPr>
          <w:rFonts w:ascii="Times New Roman" w:hAnsi="Times New Roman" w:cs="Times New Roman"/>
          <w:sz w:val="24"/>
          <w:szCs w:val="24"/>
        </w:rPr>
        <w:t>ndo o conceito de sistema socio</w:t>
      </w:r>
      <w:r w:rsidRPr="008C56E0">
        <w:rPr>
          <w:rFonts w:ascii="Times New Roman" w:hAnsi="Times New Roman" w:cs="Times New Roman"/>
          <w:sz w:val="24"/>
          <w:szCs w:val="24"/>
        </w:rPr>
        <w:t>técnico, uma combinação de fatores sociais com fat</w:t>
      </w:r>
      <w:r>
        <w:rPr>
          <w:rFonts w:ascii="Times New Roman" w:hAnsi="Times New Roman" w:cs="Times New Roman"/>
          <w:sz w:val="24"/>
          <w:szCs w:val="24"/>
        </w:rPr>
        <w:t>ores te</w:t>
      </w:r>
      <w:r w:rsidRPr="008C56E0">
        <w:rPr>
          <w:rFonts w:ascii="Times New Roman" w:hAnsi="Times New Roman" w:cs="Times New Roman"/>
          <w:sz w:val="24"/>
          <w:szCs w:val="24"/>
        </w:rPr>
        <w:t xml:space="preserve">cnológicos.  Nesse contexto, inovações de sistema podem ser entendidas como </w:t>
      </w:r>
      <w:r>
        <w:rPr>
          <w:rFonts w:ascii="Times New Roman" w:hAnsi="Times New Roman" w:cs="Times New Roman"/>
          <w:sz w:val="24"/>
          <w:szCs w:val="24"/>
        </w:rPr>
        <w:t>a transição de um sistema socio</w:t>
      </w:r>
      <w:r w:rsidRPr="008C56E0">
        <w:rPr>
          <w:rFonts w:ascii="Times New Roman" w:hAnsi="Times New Roman" w:cs="Times New Roman"/>
          <w:sz w:val="24"/>
          <w:szCs w:val="24"/>
        </w:rPr>
        <w:t xml:space="preserve">técnico para outro. </w:t>
      </w:r>
    </w:p>
    <w:p w:rsidR="00275052" w:rsidRDefault="00275052" w:rsidP="00275052">
      <w:pPr>
        <w:spacing w:line="360" w:lineRule="auto"/>
        <w:ind w:firstLine="708"/>
        <w:rPr>
          <w:rFonts w:ascii="Times New Roman" w:hAnsi="Times New Roman" w:cs="Times New Roman"/>
          <w:sz w:val="24"/>
          <w:szCs w:val="24"/>
        </w:rPr>
      </w:pPr>
      <w:r>
        <w:rPr>
          <w:rFonts w:ascii="Times New Roman" w:hAnsi="Times New Roman" w:cs="Times New Roman"/>
          <w:sz w:val="24"/>
          <w:szCs w:val="24"/>
        </w:rPr>
        <w:t>O autor faz uso de um quadro analítico em três níveis</w:t>
      </w:r>
      <w:r w:rsidRPr="008C56E0">
        <w:rPr>
          <w:rFonts w:ascii="Times New Roman" w:hAnsi="Times New Roman" w:cs="Times New Roman"/>
          <w:sz w:val="24"/>
          <w:szCs w:val="24"/>
        </w:rPr>
        <w:t xml:space="preserve"> para compreender d</w:t>
      </w:r>
      <w:r>
        <w:rPr>
          <w:rFonts w:ascii="Times New Roman" w:hAnsi="Times New Roman" w:cs="Times New Roman"/>
          <w:sz w:val="24"/>
          <w:szCs w:val="24"/>
        </w:rPr>
        <w:t>e que forma as inovações surgem e</w:t>
      </w:r>
      <w:r w:rsidRPr="008C56E0">
        <w:rPr>
          <w:rFonts w:ascii="Times New Roman" w:hAnsi="Times New Roman" w:cs="Times New Roman"/>
          <w:sz w:val="24"/>
          <w:szCs w:val="24"/>
        </w:rPr>
        <w:t xml:space="preserve"> se difundem em uma indústria, </w:t>
      </w:r>
      <w:r>
        <w:rPr>
          <w:rFonts w:ascii="Times New Roman" w:hAnsi="Times New Roman" w:cs="Times New Roman"/>
          <w:sz w:val="24"/>
          <w:szCs w:val="24"/>
        </w:rPr>
        <w:t>de modo a</w:t>
      </w:r>
      <w:r w:rsidRPr="008C56E0">
        <w:rPr>
          <w:rFonts w:ascii="Times New Roman" w:hAnsi="Times New Roman" w:cs="Times New Roman"/>
          <w:sz w:val="24"/>
          <w:szCs w:val="24"/>
        </w:rPr>
        <w:t xml:space="preserve"> substituir o m</w:t>
      </w:r>
      <w:r>
        <w:rPr>
          <w:rFonts w:ascii="Times New Roman" w:hAnsi="Times New Roman" w:cs="Times New Roman"/>
          <w:sz w:val="24"/>
          <w:szCs w:val="24"/>
        </w:rPr>
        <w:t>odelo de produção vigente. O nível panorâmico é o mais amplo</w:t>
      </w:r>
      <w:r w:rsidRPr="008C56E0">
        <w:rPr>
          <w:rFonts w:ascii="Times New Roman" w:hAnsi="Times New Roman" w:cs="Times New Roman"/>
          <w:sz w:val="24"/>
          <w:szCs w:val="24"/>
        </w:rPr>
        <w:t>,</w:t>
      </w:r>
      <w:r>
        <w:rPr>
          <w:rFonts w:ascii="Times New Roman" w:hAnsi="Times New Roman" w:cs="Times New Roman"/>
          <w:sz w:val="24"/>
          <w:szCs w:val="24"/>
        </w:rPr>
        <w:t xml:space="preserve"> ao passo que os</w:t>
      </w:r>
      <w:r w:rsidRPr="008C56E0">
        <w:rPr>
          <w:rFonts w:ascii="Times New Roman" w:hAnsi="Times New Roman" w:cs="Times New Roman"/>
          <w:sz w:val="24"/>
          <w:szCs w:val="24"/>
        </w:rPr>
        <w:t xml:space="preserve"> </w:t>
      </w:r>
      <w:r>
        <w:rPr>
          <w:rFonts w:ascii="Times New Roman" w:hAnsi="Times New Roman" w:cs="Times New Roman"/>
          <w:sz w:val="24"/>
          <w:szCs w:val="24"/>
        </w:rPr>
        <w:t>conceitos de regime sociotécnico</w:t>
      </w:r>
      <w:r w:rsidRPr="008C56E0">
        <w:rPr>
          <w:rFonts w:ascii="Times New Roman" w:hAnsi="Times New Roman" w:cs="Times New Roman"/>
          <w:sz w:val="24"/>
          <w:szCs w:val="24"/>
        </w:rPr>
        <w:t xml:space="preserve"> e de nichos</w:t>
      </w:r>
      <w:r>
        <w:rPr>
          <w:rFonts w:ascii="Times New Roman" w:hAnsi="Times New Roman" w:cs="Times New Roman"/>
          <w:sz w:val="24"/>
          <w:szCs w:val="24"/>
        </w:rPr>
        <w:t xml:space="preserve"> se referem aos níveis intermediário e específico, respectivamente</w:t>
      </w:r>
      <w:r w:rsidRPr="008C56E0">
        <w:rPr>
          <w:rFonts w:ascii="Times New Roman" w:hAnsi="Times New Roman" w:cs="Times New Roman"/>
          <w:sz w:val="24"/>
          <w:szCs w:val="24"/>
        </w:rPr>
        <w:t xml:space="preserve">. </w:t>
      </w:r>
    </w:p>
    <w:p w:rsidR="00275052" w:rsidRDefault="00275052" w:rsidP="00275052">
      <w:pPr>
        <w:spacing w:line="360" w:lineRule="auto"/>
        <w:ind w:firstLine="708"/>
        <w:rPr>
          <w:rFonts w:ascii="Times New Roman" w:hAnsi="Times New Roman" w:cs="Times New Roman"/>
          <w:sz w:val="24"/>
          <w:szCs w:val="24"/>
        </w:rPr>
      </w:pPr>
      <w:r>
        <w:rPr>
          <w:rFonts w:ascii="Times New Roman" w:hAnsi="Times New Roman" w:cs="Times New Roman"/>
          <w:sz w:val="24"/>
          <w:szCs w:val="24"/>
        </w:rPr>
        <w:t>Um regime sociotécnico pode ser entendido como o conjunto de regras que são compartilhadas entre os regimes científico, tecnológico, político, sociocultural e de mercado, formando uma ponte entre campos separados da literatura. Como exemplo, pode-se citar a busca heurística em setores de engenharia. Ao mesmo tempo em que está alinhada com o departamento de marketing que visa a identificar as preferências dos consumidores, também deve atender a regulamentações formais, como padrões de segurança,</w:t>
      </w:r>
      <w:r w:rsidRPr="004A6843">
        <w:rPr>
          <w:rFonts w:ascii="Times New Roman" w:hAnsi="Times New Roman" w:cs="Times New Roman"/>
          <w:sz w:val="24"/>
          <w:szCs w:val="24"/>
        </w:rPr>
        <w:t xml:space="preserve"> </w:t>
      </w:r>
      <w:r>
        <w:rPr>
          <w:rFonts w:ascii="Times New Roman" w:hAnsi="Times New Roman" w:cs="Times New Roman"/>
          <w:sz w:val="24"/>
          <w:szCs w:val="24"/>
        </w:rPr>
        <w:t>de emissão de GEE, entre outros.</w:t>
      </w:r>
    </w:p>
    <w:p w:rsidR="00275052" w:rsidRPr="0010724A" w:rsidRDefault="00275052" w:rsidP="00275052">
      <w:pPr>
        <w:spacing w:line="360" w:lineRule="auto"/>
        <w:ind w:firstLine="708"/>
        <w:rPr>
          <w:rFonts w:ascii="Times New Roman" w:hAnsi="Times New Roman" w:cs="Times New Roman"/>
          <w:sz w:val="24"/>
          <w:szCs w:val="24"/>
        </w:rPr>
      </w:pPr>
      <w:r w:rsidRPr="008C56E0">
        <w:rPr>
          <w:rFonts w:ascii="Times New Roman" w:hAnsi="Times New Roman" w:cs="Times New Roman"/>
          <w:sz w:val="24"/>
          <w:szCs w:val="24"/>
        </w:rPr>
        <w:t xml:space="preserve">O nível </w:t>
      </w:r>
      <w:r>
        <w:rPr>
          <w:rFonts w:ascii="Times New Roman" w:hAnsi="Times New Roman" w:cs="Times New Roman"/>
          <w:sz w:val="24"/>
          <w:szCs w:val="24"/>
        </w:rPr>
        <w:t>panorâmico</w:t>
      </w:r>
      <w:r w:rsidRPr="008C56E0">
        <w:rPr>
          <w:rFonts w:ascii="Times New Roman" w:hAnsi="Times New Roman" w:cs="Times New Roman"/>
          <w:sz w:val="24"/>
          <w:szCs w:val="24"/>
        </w:rPr>
        <w:t xml:space="preserve"> está associado a um cenário que engloba não só as firmas produtoras e suas relações com clientes e fornecedores, mas toda a </w:t>
      </w:r>
      <w:r>
        <w:rPr>
          <w:rFonts w:ascii="Times New Roman" w:hAnsi="Times New Roman" w:cs="Times New Roman"/>
          <w:sz w:val="24"/>
          <w:szCs w:val="24"/>
        </w:rPr>
        <w:t xml:space="preserve">infraestrutura física que organiza os sistemas produtivos, os centros urbanos, a distribuição de bens e serviços, além da </w:t>
      </w:r>
      <w:r w:rsidRPr="008C56E0">
        <w:rPr>
          <w:rFonts w:ascii="Times New Roman" w:hAnsi="Times New Roman" w:cs="Times New Roman"/>
          <w:sz w:val="24"/>
          <w:szCs w:val="24"/>
        </w:rPr>
        <w:t xml:space="preserve">estrutura institucional, regras, normas que permitem a difusão e a consolidação de uma determinada tecnologia nos hábitos, crenças e costumes dos agentes envolvidos na </w:t>
      </w:r>
      <w:r w:rsidRPr="0097229C">
        <w:rPr>
          <w:rFonts w:ascii="Times New Roman" w:hAnsi="Times New Roman" w:cs="Times New Roman"/>
          <w:sz w:val="24"/>
          <w:szCs w:val="24"/>
        </w:rPr>
        <w:t>produção.</w:t>
      </w:r>
    </w:p>
    <w:p w:rsidR="00275052" w:rsidRDefault="00275052" w:rsidP="00275052">
      <w:pPr>
        <w:spacing w:line="360" w:lineRule="auto"/>
        <w:ind w:firstLine="708"/>
      </w:pPr>
    </w:p>
    <w:p w:rsidR="00BB18A7" w:rsidRDefault="00BB18A7">
      <w:pPr>
        <w:rPr>
          <w:rFonts w:ascii="Times New Roman" w:hAnsi="Times New Roman" w:cs="Times New Roman"/>
          <w:b/>
          <w:sz w:val="24"/>
          <w:szCs w:val="24"/>
        </w:rPr>
      </w:pPr>
      <w:r>
        <w:rPr>
          <w:rFonts w:ascii="Times New Roman" w:hAnsi="Times New Roman" w:cs="Times New Roman"/>
          <w:b/>
          <w:sz w:val="24"/>
          <w:szCs w:val="24"/>
        </w:rPr>
        <w:br w:type="page"/>
      </w:r>
    </w:p>
    <w:p w:rsidR="00275052" w:rsidRPr="003130C0" w:rsidRDefault="00275052" w:rsidP="00275052">
      <w:pPr>
        <w:jc w:val="center"/>
        <w:rPr>
          <w:rFonts w:ascii="Times New Roman" w:hAnsi="Times New Roman" w:cs="Times New Roman"/>
          <w:b/>
          <w:sz w:val="24"/>
          <w:szCs w:val="24"/>
        </w:rPr>
      </w:pPr>
      <w:r w:rsidRPr="003130C0">
        <w:rPr>
          <w:rFonts w:ascii="Times New Roman" w:hAnsi="Times New Roman" w:cs="Times New Roman"/>
          <w:b/>
          <w:sz w:val="24"/>
          <w:szCs w:val="24"/>
        </w:rPr>
        <w:lastRenderedPageBreak/>
        <w:t>Figur</w:t>
      </w:r>
      <w:r>
        <w:rPr>
          <w:rFonts w:ascii="Times New Roman" w:hAnsi="Times New Roman" w:cs="Times New Roman"/>
          <w:b/>
          <w:sz w:val="24"/>
          <w:szCs w:val="24"/>
        </w:rPr>
        <w:t xml:space="preserve">a </w:t>
      </w:r>
      <w:r w:rsidR="008C571D">
        <w:rPr>
          <w:rFonts w:ascii="Times New Roman" w:hAnsi="Times New Roman" w:cs="Times New Roman"/>
          <w:b/>
          <w:sz w:val="24"/>
          <w:szCs w:val="24"/>
        </w:rPr>
        <w:t>1</w:t>
      </w:r>
      <w:r>
        <w:rPr>
          <w:rFonts w:ascii="Times New Roman" w:hAnsi="Times New Roman" w:cs="Times New Roman"/>
          <w:b/>
          <w:sz w:val="24"/>
          <w:szCs w:val="24"/>
        </w:rPr>
        <w:t>. Grupos sociais que apoiam e reproduzem Sistemas Sociotécnicos</w:t>
      </w:r>
    </w:p>
    <w:p w:rsidR="00275052" w:rsidRDefault="00275052" w:rsidP="00275052">
      <w:pPr>
        <w:spacing w:line="360" w:lineRule="auto"/>
        <w:jc w:val="center"/>
      </w:pPr>
      <w:r w:rsidRPr="003130C0">
        <w:rPr>
          <w:lang w:eastAsia="pt-BR"/>
        </w:rPr>
        <w:object w:dxaOrig="7197" w:dyaOrig="5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2.6pt;height:4in" o:ole="">
            <v:imagedata r:id="rId9" o:title=""/>
          </v:shape>
          <o:OLEObject Type="Embed" ProgID="PowerPoint.Slide.12" ShapeID="_x0000_i1026" DrawAspect="Content" ObjectID="_1410162190" r:id="rId10"/>
        </w:object>
      </w:r>
    </w:p>
    <w:p w:rsidR="00275052" w:rsidRPr="003130C0" w:rsidRDefault="00275052" w:rsidP="00275052">
      <w:pPr>
        <w:spacing w:line="360" w:lineRule="auto"/>
        <w:ind w:firstLine="708"/>
        <w:rPr>
          <w:rFonts w:ascii="Times New Roman" w:hAnsi="Times New Roman" w:cs="Times New Roman"/>
          <w:sz w:val="20"/>
          <w:szCs w:val="20"/>
        </w:rPr>
      </w:pPr>
      <w:r w:rsidRPr="003130C0">
        <w:rPr>
          <w:rFonts w:ascii="Times New Roman" w:hAnsi="Times New Roman" w:cs="Times New Roman"/>
          <w:sz w:val="20"/>
          <w:szCs w:val="20"/>
        </w:rPr>
        <w:t>Fonte: Adaptado de Geels (2004)</w:t>
      </w:r>
    </w:p>
    <w:p w:rsidR="00275052" w:rsidRDefault="00275052" w:rsidP="00275052">
      <w:pPr>
        <w:spacing w:line="360" w:lineRule="auto"/>
        <w:jc w:val="center"/>
      </w:pPr>
    </w:p>
    <w:p w:rsidR="00275052" w:rsidRDefault="00275052" w:rsidP="00275052">
      <w:pPr>
        <w:spacing w:line="360" w:lineRule="auto"/>
        <w:ind w:firstLine="708"/>
        <w:rPr>
          <w:rFonts w:ascii="Times New Roman" w:hAnsi="Times New Roman" w:cs="Times New Roman"/>
          <w:sz w:val="24"/>
          <w:szCs w:val="24"/>
        </w:rPr>
      </w:pPr>
      <w:r>
        <w:rPr>
          <w:rFonts w:ascii="Times New Roman" w:hAnsi="Times New Roman" w:cs="Times New Roman"/>
          <w:sz w:val="24"/>
          <w:szCs w:val="24"/>
        </w:rPr>
        <w:t>Não é difícil relacionar a abordagem de Geels</w:t>
      </w:r>
      <w:r w:rsidRPr="008C56E0">
        <w:rPr>
          <w:rFonts w:ascii="Times New Roman" w:hAnsi="Times New Roman" w:cs="Times New Roman"/>
          <w:sz w:val="24"/>
          <w:szCs w:val="24"/>
        </w:rPr>
        <w:t xml:space="preserve"> </w:t>
      </w:r>
      <w:r>
        <w:rPr>
          <w:rFonts w:ascii="Times New Roman" w:hAnsi="Times New Roman" w:cs="Times New Roman"/>
          <w:sz w:val="24"/>
          <w:szCs w:val="24"/>
        </w:rPr>
        <w:t>com o modelo do ciclo de vida. Sob muita incerteza, a</w:t>
      </w:r>
      <w:r w:rsidRPr="008C56E0">
        <w:rPr>
          <w:rFonts w:ascii="Times New Roman" w:hAnsi="Times New Roman" w:cs="Times New Roman"/>
          <w:sz w:val="24"/>
          <w:szCs w:val="24"/>
        </w:rPr>
        <w:t>s inovações mais radicais surgem a partir de experimentações pouco direcionadas em nichos te</w:t>
      </w:r>
      <w:r>
        <w:rPr>
          <w:rFonts w:ascii="Times New Roman" w:hAnsi="Times New Roman" w:cs="Times New Roman"/>
          <w:sz w:val="24"/>
          <w:szCs w:val="24"/>
        </w:rPr>
        <w:t>cnológicos, espaços protegidos da seleção convencional de mercado</w:t>
      </w:r>
      <w:r w:rsidRPr="008C56E0">
        <w:rPr>
          <w:rFonts w:ascii="Times New Roman" w:hAnsi="Times New Roman" w:cs="Times New Roman"/>
          <w:sz w:val="24"/>
          <w:szCs w:val="24"/>
        </w:rPr>
        <w:t xml:space="preserve">. Com o desenvolvimento dessas inovações, ocorre sua difusão, refletida no aumento de pesquisadores envolvidos, publicações e discussões sobre o tema, na criação de regras, padrões e, principalmente, mercados. </w:t>
      </w:r>
    </w:p>
    <w:p w:rsidR="00275052" w:rsidRDefault="00275052" w:rsidP="00275052">
      <w:pPr>
        <w:spacing w:line="360" w:lineRule="auto"/>
        <w:ind w:firstLine="708"/>
        <w:rPr>
          <w:rFonts w:ascii="Times New Roman" w:hAnsi="Times New Roman" w:cs="Times New Roman"/>
          <w:sz w:val="24"/>
          <w:szCs w:val="24"/>
        </w:rPr>
      </w:pPr>
      <w:r w:rsidRPr="008C56E0">
        <w:rPr>
          <w:rFonts w:ascii="Times New Roman" w:hAnsi="Times New Roman" w:cs="Times New Roman"/>
          <w:sz w:val="24"/>
          <w:szCs w:val="24"/>
        </w:rPr>
        <w:t xml:space="preserve">São janelas de oportunidade nos regimes </w:t>
      </w:r>
      <w:r>
        <w:rPr>
          <w:rFonts w:ascii="Times New Roman" w:hAnsi="Times New Roman" w:cs="Times New Roman"/>
          <w:sz w:val="24"/>
          <w:szCs w:val="24"/>
        </w:rPr>
        <w:t>sociotécnicos e no nível</w:t>
      </w:r>
      <w:r w:rsidRPr="008C56E0">
        <w:rPr>
          <w:rFonts w:ascii="Times New Roman" w:hAnsi="Times New Roman" w:cs="Times New Roman"/>
          <w:sz w:val="24"/>
          <w:szCs w:val="24"/>
        </w:rPr>
        <w:t xml:space="preserve"> panorâmico, bem como a maior estrutu</w:t>
      </w:r>
      <w:r>
        <w:rPr>
          <w:rFonts w:ascii="Times New Roman" w:hAnsi="Times New Roman" w:cs="Times New Roman"/>
          <w:sz w:val="24"/>
          <w:szCs w:val="24"/>
        </w:rPr>
        <w:t>ração das atividades produtivas,</w:t>
      </w:r>
      <w:r w:rsidRPr="008C56E0">
        <w:rPr>
          <w:rFonts w:ascii="Times New Roman" w:hAnsi="Times New Roman" w:cs="Times New Roman"/>
          <w:sz w:val="24"/>
          <w:szCs w:val="24"/>
        </w:rPr>
        <w:t xml:space="preserve"> via estabelecimento de relações mais estáveis com consumidores, fornecedores, centros de pesquisa, órgãos governamentais, entre outros, que permitem a difusão de inovações desenvolvidas nos nichos.</w:t>
      </w:r>
      <w:r>
        <w:rPr>
          <w:rFonts w:ascii="Times New Roman" w:hAnsi="Times New Roman" w:cs="Times New Roman"/>
          <w:sz w:val="24"/>
          <w:szCs w:val="24"/>
        </w:rPr>
        <w:t xml:space="preserve"> </w:t>
      </w:r>
      <w:r w:rsidRPr="008C56E0">
        <w:rPr>
          <w:rFonts w:ascii="Times New Roman" w:hAnsi="Times New Roman" w:cs="Times New Roman"/>
          <w:sz w:val="24"/>
          <w:szCs w:val="24"/>
        </w:rPr>
        <w:t xml:space="preserve">A </w:t>
      </w:r>
      <w:r>
        <w:rPr>
          <w:rFonts w:ascii="Times New Roman" w:hAnsi="Times New Roman" w:cs="Times New Roman"/>
          <w:sz w:val="24"/>
          <w:szCs w:val="24"/>
        </w:rPr>
        <w:t xml:space="preserve">ampla </w:t>
      </w:r>
      <w:r w:rsidRPr="008C56E0">
        <w:rPr>
          <w:rFonts w:ascii="Times New Roman" w:hAnsi="Times New Roman" w:cs="Times New Roman"/>
          <w:sz w:val="24"/>
          <w:szCs w:val="24"/>
        </w:rPr>
        <w:t xml:space="preserve">difusão </w:t>
      </w:r>
      <w:r>
        <w:rPr>
          <w:rFonts w:ascii="Times New Roman" w:hAnsi="Times New Roman" w:cs="Times New Roman"/>
          <w:sz w:val="24"/>
          <w:szCs w:val="24"/>
        </w:rPr>
        <w:t>de uma nova tecnologia</w:t>
      </w:r>
      <w:r w:rsidRPr="008C56E0">
        <w:rPr>
          <w:rFonts w:ascii="Times New Roman" w:hAnsi="Times New Roman" w:cs="Times New Roman"/>
          <w:sz w:val="24"/>
          <w:szCs w:val="24"/>
        </w:rPr>
        <w:t xml:space="preserve"> só ocorre com a consolidação das novas regras no nível p</w:t>
      </w:r>
      <w:r>
        <w:rPr>
          <w:rFonts w:ascii="Times New Roman" w:hAnsi="Times New Roman" w:cs="Times New Roman"/>
          <w:sz w:val="24"/>
          <w:szCs w:val="24"/>
        </w:rPr>
        <w:t xml:space="preserve">anorâmico, </w:t>
      </w:r>
      <w:r w:rsidRPr="008C56E0">
        <w:rPr>
          <w:rFonts w:ascii="Times New Roman" w:hAnsi="Times New Roman" w:cs="Times New Roman"/>
          <w:sz w:val="24"/>
          <w:szCs w:val="24"/>
        </w:rPr>
        <w:t xml:space="preserve">que reduz a incerteza e permite às firmas usufruírem de ganhos de escala. </w:t>
      </w:r>
    </w:p>
    <w:p w:rsidR="00275052" w:rsidRPr="000739EC" w:rsidRDefault="00275052" w:rsidP="00275052">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O modelo de Geels foi</w:t>
      </w:r>
      <w:r w:rsidRPr="000739EC">
        <w:rPr>
          <w:rFonts w:ascii="Times New Roman" w:hAnsi="Times New Roman" w:cs="Times New Roman"/>
          <w:sz w:val="24"/>
          <w:szCs w:val="24"/>
          <w:lang w:val="pt-PT"/>
        </w:rPr>
        <w:t xml:space="preserve"> aplicado por Bennett e Pearson (2009) a um estudo de caso que analisa a transição ocorrida na indústria química e de combustíveis líquidos no Reino Unido, entre 1921 e 1967, com a substituição de matérias-primas baseadas em carvão para os petroquímicos. Com isso ele retorna à discussão sobre mudança de base de matéria-prima na indústria petroquímic</w:t>
      </w:r>
      <w:r>
        <w:rPr>
          <w:rFonts w:ascii="Times New Roman" w:hAnsi="Times New Roman" w:cs="Times New Roman"/>
          <w:sz w:val="24"/>
          <w:szCs w:val="24"/>
          <w:lang w:val="pt-PT"/>
        </w:rPr>
        <w:t>a,</w:t>
      </w:r>
      <w:r w:rsidRPr="000739EC">
        <w:rPr>
          <w:rFonts w:ascii="Times New Roman" w:hAnsi="Times New Roman" w:cs="Times New Roman"/>
          <w:sz w:val="24"/>
          <w:szCs w:val="24"/>
          <w:lang w:val="pt-PT"/>
        </w:rPr>
        <w:t xml:space="preserve"> mostrando que essa mudança foi resultado de uma ruptura em regimes </w:t>
      </w:r>
      <w:r w:rsidRPr="000739EC">
        <w:rPr>
          <w:rFonts w:ascii="Times New Roman" w:hAnsi="Times New Roman" w:cs="Times New Roman"/>
          <w:sz w:val="24"/>
          <w:szCs w:val="24"/>
          <w:lang w:val="pt-PT"/>
        </w:rPr>
        <w:lastRenderedPageBreak/>
        <w:t>relativamente estáveis, que</w:t>
      </w:r>
      <w:r>
        <w:rPr>
          <w:rFonts w:ascii="Times New Roman" w:hAnsi="Times New Roman" w:cs="Times New Roman"/>
          <w:sz w:val="24"/>
          <w:szCs w:val="24"/>
          <w:lang w:val="pt-PT"/>
        </w:rPr>
        <w:t xml:space="preserve"> surgiu no nível “panorâmico” (</w:t>
      </w:r>
      <w:r w:rsidRPr="000739EC">
        <w:rPr>
          <w:rFonts w:ascii="Times New Roman" w:hAnsi="Times New Roman" w:cs="Times New Roman"/>
          <w:sz w:val="24"/>
          <w:szCs w:val="24"/>
          <w:lang w:val="pt-PT"/>
        </w:rPr>
        <w:t>preocupação com importação de combustíveis e desenvolvimento de al</w:t>
      </w:r>
      <w:r>
        <w:rPr>
          <w:rFonts w:ascii="Times New Roman" w:hAnsi="Times New Roman" w:cs="Times New Roman"/>
          <w:sz w:val="24"/>
          <w:szCs w:val="24"/>
          <w:lang w:val="pt-PT"/>
        </w:rPr>
        <w:t>ifáticos nos EUA e na Alemanha)</w:t>
      </w:r>
      <w:r w:rsidR="00BB18A7">
        <w:rPr>
          <w:rFonts w:ascii="Times New Roman" w:hAnsi="Times New Roman" w:cs="Times New Roman"/>
          <w:sz w:val="24"/>
          <w:szCs w:val="24"/>
          <w:lang w:val="pt-PT"/>
        </w:rPr>
        <w:t xml:space="preserve"> e de</w:t>
      </w:r>
      <w:r w:rsidRPr="000739EC">
        <w:rPr>
          <w:rFonts w:ascii="Times New Roman" w:hAnsi="Times New Roman" w:cs="Times New Roman"/>
          <w:sz w:val="24"/>
          <w:szCs w:val="24"/>
          <w:lang w:val="pt-PT"/>
        </w:rPr>
        <w:t xml:space="preserve"> uma crise nas destilarias, no nível do regime. </w:t>
      </w:r>
    </w:p>
    <w:p w:rsidR="00275052" w:rsidRDefault="00275052" w:rsidP="00275052">
      <w:pPr>
        <w:spacing w:line="360" w:lineRule="auto"/>
        <w:ind w:firstLine="708"/>
        <w:rPr>
          <w:rFonts w:ascii="Times New Roman" w:hAnsi="Times New Roman" w:cs="Times New Roman"/>
          <w:sz w:val="24"/>
          <w:szCs w:val="24"/>
          <w:lang w:val="pt-PT"/>
        </w:rPr>
      </w:pPr>
      <w:r w:rsidRPr="000739EC">
        <w:rPr>
          <w:rFonts w:ascii="Times New Roman" w:hAnsi="Times New Roman" w:cs="Times New Roman"/>
          <w:sz w:val="24"/>
          <w:szCs w:val="24"/>
          <w:lang w:val="pt-PT"/>
        </w:rPr>
        <w:t xml:space="preserve">Para tratar do potencial das matérias primas renováveis na substituição de hidrocarbonetos fósseis em produtos sintéticos e combustíveis </w:t>
      </w:r>
      <w:r w:rsidR="00EA54E6">
        <w:rPr>
          <w:rFonts w:ascii="Times New Roman" w:hAnsi="Times New Roman" w:cs="Times New Roman"/>
          <w:sz w:val="24"/>
          <w:szCs w:val="24"/>
          <w:lang w:val="pt-PT"/>
        </w:rPr>
        <w:t>líquidos, Bennett e Pearson (2009</w:t>
      </w:r>
      <w:r w:rsidR="00F02269">
        <w:rPr>
          <w:rFonts w:ascii="Times New Roman" w:hAnsi="Times New Roman" w:cs="Times New Roman"/>
          <w:sz w:val="24"/>
          <w:szCs w:val="24"/>
          <w:lang w:val="pt-PT"/>
        </w:rPr>
        <w:t>)</w:t>
      </w:r>
      <w:r w:rsidRPr="000739EC">
        <w:rPr>
          <w:rFonts w:ascii="Times New Roman" w:hAnsi="Times New Roman" w:cs="Times New Roman"/>
          <w:sz w:val="24"/>
          <w:szCs w:val="24"/>
          <w:lang w:val="pt-PT"/>
        </w:rPr>
        <w:t xml:space="preserve"> recorrem à experiência vivida pela indústria petroquímica</w:t>
      </w:r>
      <w:r>
        <w:rPr>
          <w:rFonts w:ascii="Times New Roman" w:hAnsi="Times New Roman" w:cs="Times New Roman"/>
          <w:sz w:val="24"/>
          <w:szCs w:val="24"/>
          <w:lang w:val="pt-PT"/>
        </w:rPr>
        <w:t>, incorporando a dinâmica de co</w:t>
      </w:r>
      <w:r w:rsidRPr="000739EC">
        <w:rPr>
          <w:rFonts w:ascii="Times New Roman" w:hAnsi="Times New Roman" w:cs="Times New Roman"/>
          <w:sz w:val="24"/>
          <w:szCs w:val="24"/>
          <w:lang w:val="pt-PT"/>
        </w:rPr>
        <w:t>evolução entre regimes de dois setores muito relacionados, o de químicos orgânicos e o de combustíveis</w:t>
      </w:r>
      <w:r>
        <w:rPr>
          <w:rFonts w:ascii="Times New Roman" w:hAnsi="Times New Roman" w:cs="Times New Roman"/>
          <w:sz w:val="24"/>
          <w:szCs w:val="24"/>
          <w:lang w:val="pt-PT"/>
        </w:rPr>
        <w:t>,</w:t>
      </w:r>
      <w:r w:rsidRPr="000739EC">
        <w:rPr>
          <w:rFonts w:ascii="Times New Roman" w:hAnsi="Times New Roman" w:cs="Times New Roman"/>
          <w:sz w:val="24"/>
          <w:szCs w:val="24"/>
          <w:lang w:val="pt-PT"/>
        </w:rPr>
        <w:t xml:space="preserve"> e assim destacando a importância das relações de </w:t>
      </w:r>
      <w:r w:rsidRPr="00690F45">
        <w:rPr>
          <w:rFonts w:ascii="Times New Roman" w:hAnsi="Times New Roman" w:cs="Times New Roman"/>
          <w:i/>
          <w:sz w:val="24"/>
          <w:szCs w:val="24"/>
          <w:lang w:val="pt-PT"/>
        </w:rPr>
        <w:t>feedback</w:t>
      </w:r>
      <w:r w:rsidRPr="000739EC">
        <w:rPr>
          <w:rFonts w:ascii="Times New Roman" w:hAnsi="Times New Roman" w:cs="Times New Roman"/>
          <w:sz w:val="24"/>
          <w:szCs w:val="24"/>
          <w:lang w:val="pt-PT"/>
        </w:rPr>
        <w:t xml:space="preserve"> entre diferentes setores  para o sucesso de uma inovação.</w:t>
      </w:r>
    </w:p>
    <w:p w:rsidR="002E5531" w:rsidRPr="00CA369E" w:rsidRDefault="002E5531" w:rsidP="002E5531">
      <w:pPr>
        <w:spacing w:line="360" w:lineRule="auto"/>
        <w:ind w:firstLine="708"/>
        <w:rPr>
          <w:rFonts w:ascii="Times New Roman" w:hAnsi="Times New Roman" w:cs="Times New Roman"/>
          <w:sz w:val="24"/>
          <w:szCs w:val="24"/>
        </w:rPr>
      </w:pPr>
      <w:r>
        <w:rPr>
          <w:rFonts w:ascii="Times New Roman" w:hAnsi="Times New Roman" w:cs="Times New Roman"/>
          <w:sz w:val="24"/>
          <w:szCs w:val="24"/>
          <w:lang w:val="pt-PT"/>
        </w:rPr>
        <w:t xml:space="preserve">Mais recentemente, </w:t>
      </w:r>
      <w:r w:rsidRPr="00A634FC">
        <w:rPr>
          <w:rFonts w:ascii="Times New Roman" w:hAnsi="Times New Roman" w:cs="Times New Roman"/>
          <w:sz w:val="24"/>
          <w:szCs w:val="24"/>
          <w:lang w:val="pt-PT"/>
        </w:rPr>
        <w:t xml:space="preserve">Geels (2010) </w:t>
      </w:r>
      <w:r>
        <w:rPr>
          <w:rFonts w:ascii="Times New Roman" w:hAnsi="Times New Roman" w:cs="Times New Roman"/>
          <w:sz w:val="24"/>
          <w:szCs w:val="24"/>
          <w:lang w:val="pt-PT"/>
        </w:rPr>
        <w:t>seguiu com</w:t>
      </w:r>
      <w:r w:rsidRPr="00A634FC">
        <w:rPr>
          <w:rFonts w:ascii="Times New Roman" w:hAnsi="Times New Roman" w:cs="Times New Roman"/>
          <w:sz w:val="24"/>
          <w:szCs w:val="24"/>
          <w:lang w:val="pt-PT"/>
        </w:rPr>
        <w:t xml:space="preserve"> abordagem baseada na teoria econômica evolucionária, </w:t>
      </w:r>
      <w:r>
        <w:rPr>
          <w:rFonts w:ascii="Times New Roman" w:hAnsi="Times New Roman" w:cs="Times New Roman"/>
          <w:sz w:val="24"/>
          <w:szCs w:val="24"/>
          <w:lang w:val="pt-PT"/>
        </w:rPr>
        <w:t>sendo também influenciado por</w:t>
      </w:r>
      <w:r w:rsidRPr="00A634FC">
        <w:rPr>
          <w:rFonts w:ascii="Times New Roman" w:hAnsi="Times New Roman" w:cs="Times New Roman"/>
          <w:sz w:val="24"/>
          <w:szCs w:val="24"/>
          <w:lang w:val="pt-PT"/>
        </w:rPr>
        <w:t xml:space="preserve"> disciplinas como a sociologia</w:t>
      </w:r>
      <w:r>
        <w:rPr>
          <w:rFonts w:ascii="Times New Roman" w:hAnsi="Times New Roman" w:cs="Times New Roman"/>
          <w:sz w:val="24"/>
          <w:szCs w:val="24"/>
          <w:lang w:val="pt-PT"/>
        </w:rPr>
        <w:t xml:space="preserve"> econômica</w:t>
      </w:r>
      <w:r w:rsidRPr="00A634FC">
        <w:rPr>
          <w:rFonts w:ascii="Times New Roman" w:hAnsi="Times New Roman" w:cs="Times New Roman"/>
          <w:sz w:val="24"/>
          <w:szCs w:val="24"/>
          <w:lang w:val="pt-PT"/>
        </w:rPr>
        <w:t xml:space="preserve">, com o objetivo de estudar problemas </w:t>
      </w:r>
      <w:r>
        <w:rPr>
          <w:rFonts w:ascii="Times New Roman" w:hAnsi="Times New Roman" w:cs="Times New Roman"/>
          <w:sz w:val="24"/>
          <w:szCs w:val="24"/>
          <w:lang w:val="pt-PT"/>
        </w:rPr>
        <w:t>da sociedade moderna</w:t>
      </w:r>
      <w:r w:rsidRPr="00A634FC">
        <w:rPr>
          <w:rFonts w:ascii="Times New Roman" w:hAnsi="Times New Roman" w:cs="Times New Roman"/>
          <w:sz w:val="24"/>
          <w:szCs w:val="24"/>
          <w:lang w:val="pt-PT"/>
        </w:rPr>
        <w:t xml:space="preserve"> e transições tecnológicas abrangentes</w:t>
      </w:r>
      <w:r>
        <w:rPr>
          <w:rFonts w:ascii="Times New Roman" w:hAnsi="Times New Roman" w:cs="Times New Roman"/>
          <w:sz w:val="24"/>
          <w:szCs w:val="24"/>
          <w:lang w:val="pt-PT"/>
        </w:rPr>
        <w:t>, que representam mudanças nos regimes socio-técnicos, discutidos em trabalhos anteriores</w:t>
      </w:r>
      <w:r w:rsidRPr="00A634FC">
        <w:rPr>
          <w:rFonts w:ascii="Times New Roman" w:hAnsi="Times New Roman" w:cs="Times New Roman"/>
          <w:sz w:val="24"/>
          <w:szCs w:val="24"/>
          <w:lang w:val="pt-PT"/>
        </w:rPr>
        <w:t xml:space="preserve">. </w:t>
      </w:r>
      <w:r w:rsidRPr="00CA369E">
        <w:rPr>
          <w:rFonts w:ascii="Times New Roman" w:hAnsi="Times New Roman" w:cs="Times New Roman"/>
          <w:sz w:val="24"/>
          <w:szCs w:val="24"/>
        </w:rPr>
        <w:t>Nesse processo</w:t>
      </w:r>
      <w:r>
        <w:rPr>
          <w:rFonts w:ascii="Times New Roman" w:hAnsi="Times New Roman" w:cs="Times New Roman"/>
          <w:sz w:val="24"/>
          <w:szCs w:val="24"/>
        </w:rPr>
        <w:t xml:space="preserve"> de transição</w:t>
      </w:r>
      <w:r w:rsidRPr="00CA369E">
        <w:rPr>
          <w:rFonts w:ascii="Times New Roman" w:hAnsi="Times New Roman" w:cs="Times New Roman"/>
          <w:sz w:val="24"/>
          <w:szCs w:val="24"/>
        </w:rPr>
        <w:t>, as influências socio-políticas ganham destaque:</w:t>
      </w:r>
    </w:p>
    <w:p w:rsidR="002E5531" w:rsidRPr="00CA369E" w:rsidRDefault="002E5531" w:rsidP="002E5531">
      <w:pPr>
        <w:spacing w:line="360" w:lineRule="auto"/>
        <w:ind w:firstLine="708"/>
        <w:rPr>
          <w:rFonts w:ascii="Times New Roman" w:hAnsi="Times New Roman" w:cs="Times New Roman"/>
          <w:sz w:val="24"/>
          <w:szCs w:val="24"/>
        </w:rPr>
      </w:pPr>
    </w:p>
    <w:p w:rsidR="002E5531" w:rsidRPr="00050126" w:rsidRDefault="002E5531" w:rsidP="002E5531">
      <w:pPr>
        <w:ind w:left="2268"/>
        <w:rPr>
          <w:rFonts w:ascii="Times New Roman" w:hAnsi="Times New Roman" w:cs="Times New Roman"/>
          <w:lang w:val="en-US"/>
        </w:rPr>
      </w:pPr>
      <w:r>
        <w:rPr>
          <w:rFonts w:ascii="Times New Roman" w:hAnsi="Times New Roman" w:cs="Times New Roman"/>
          <w:lang w:val="en-US"/>
        </w:rPr>
        <w:t>(</w:t>
      </w:r>
      <w:r w:rsidRPr="00050126">
        <w:rPr>
          <w:rFonts w:ascii="Times New Roman" w:hAnsi="Times New Roman" w:cs="Times New Roman"/>
          <w:lang w:val="en-US"/>
        </w:rPr>
        <w:t>…</w:t>
      </w:r>
      <w:r>
        <w:rPr>
          <w:rFonts w:ascii="Times New Roman" w:hAnsi="Times New Roman" w:cs="Times New Roman"/>
          <w:lang w:val="en-US"/>
        </w:rPr>
        <w:t>)</w:t>
      </w:r>
      <w:r w:rsidRPr="00050126">
        <w:rPr>
          <w:rFonts w:ascii="Times New Roman" w:hAnsi="Times New Roman" w:cs="Times New Roman"/>
          <w:lang w:val="en-US"/>
        </w:rPr>
        <w:t xml:space="preserve"> social and political influences during transitions increase with (socio)technical complexity, being relatively small for discontinuities in components and products, and becoming larger for more complex assembled products and large technical systems. For socio-technical transitions, which refer to shifts in </w:t>
      </w:r>
      <w:r w:rsidRPr="005D7EBA">
        <w:rPr>
          <w:rFonts w:ascii="Times New Roman" w:hAnsi="Times New Roman" w:cs="Times New Roman"/>
          <w:b/>
          <w:lang w:val="en-US"/>
        </w:rPr>
        <w:t>entire transport systems, energy systems, agri-food systems</w:t>
      </w:r>
      <w:r w:rsidRPr="00050126">
        <w:rPr>
          <w:rFonts w:ascii="Times New Roman" w:hAnsi="Times New Roman" w:cs="Times New Roman"/>
          <w:lang w:val="en-US"/>
        </w:rPr>
        <w:t xml:space="preserve"> etc., social and political influences can t</w:t>
      </w:r>
      <w:r>
        <w:rPr>
          <w:rFonts w:ascii="Times New Roman" w:hAnsi="Times New Roman" w:cs="Times New Roman"/>
          <w:lang w:val="en-US"/>
        </w:rPr>
        <w:t xml:space="preserve">hus be expected to be large (GEELS, 2010, </w:t>
      </w:r>
      <w:r w:rsidRPr="00050126">
        <w:rPr>
          <w:rFonts w:ascii="Times New Roman" w:hAnsi="Times New Roman" w:cs="Times New Roman"/>
          <w:lang w:val="en-US"/>
        </w:rPr>
        <w:t>p. 3</w:t>
      </w:r>
      <w:r>
        <w:rPr>
          <w:rFonts w:ascii="Times New Roman" w:hAnsi="Times New Roman" w:cs="Times New Roman"/>
          <w:lang w:val="en-US"/>
        </w:rPr>
        <w:t>, grifo nosso</w:t>
      </w:r>
      <w:r w:rsidRPr="00050126">
        <w:rPr>
          <w:rFonts w:ascii="Times New Roman" w:hAnsi="Times New Roman" w:cs="Times New Roman"/>
          <w:lang w:val="en-US"/>
        </w:rPr>
        <w:t>).</w:t>
      </w:r>
    </w:p>
    <w:p w:rsidR="002E5531" w:rsidRDefault="002E5531" w:rsidP="002E5531">
      <w:pPr>
        <w:spacing w:line="360" w:lineRule="auto"/>
        <w:ind w:firstLine="708"/>
        <w:rPr>
          <w:rFonts w:ascii="Times New Roman" w:hAnsi="Times New Roman" w:cs="Times New Roman"/>
          <w:color w:val="FF0000"/>
          <w:sz w:val="24"/>
          <w:szCs w:val="24"/>
          <w:lang w:val="en-US"/>
        </w:rPr>
      </w:pPr>
    </w:p>
    <w:p w:rsidR="002E5531" w:rsidRDefault="002E5531" w:rsidP="002E5531">
      <w:pPr>
        <w:spacing w:line="360" w:lineRule="auto"/>
        <w:rPr>
          <w:rFonts w:ascii="Times New Roman" w:hAnsi="Times New Roman" w:cs="Times New Roman"/>
          <w:sz w:val="24"/>
          <w:szCs w:val="24"/>
        </w:rPr>
      </w:pPr>
      <w:r>
        <w:rPr>
          <w:rFonts w:ascii="Times New Roman" w:hAnsi="Times New Roman" w:cs="Times New Roman"/>
          <w:color w:val="FF0000"/>
          <w:sz w:val="24"/>
          <w:szCs w:val="24"/>
          <w:lang w:val="en-US"/>
        </w:rPr>
        <w:tab/>
      </w:r>
      <w:r>
        <w:rPr>
          <w:rFonts w:ascii="Times New Roman" w:hAnsi="Times New Roman" w:cs="Times New Roman"/>
          <w:sz w:val="24"/>
          <w:szCs w:val="24"/>
        </w:rPr>
        <w:t>O autor sugere</w:t>
      </w:r>
      <w:r w:rsidRPr="00050126">
        <w:rPr>
          <w:rFonts w:ascii="Times New Roman" w:hAnsi="Times New Roman" w:cs="Times New Roman"/>
          <w:sz w:val="24"/>
          <w:szCs w:val="24"/>
        </w:rPr>
        <w:t xml:space="preserve"> que há transições que não são lideradas simplesmente pela emergência de novas tecnologias que concorrem entre si até que surja um </w:t>
      </w:r>
      <w:r w:rsidRPr="005D7EBA">
        <w:rPr>
          <w:rFonts w:ascii="Times New Roman" w:hAnsi="Times New Roman" w:cs="Times New Roman"/>
          <w:i/>
          <w:sz w:val="24"/>
          <w:szCs w:val="24"/>
        </w:rPr>
        <w:t>design</w:t>
      </w:r>
      <w:r>
        <w:rPr>
          <w:rFonts w:ascii="Times New Roman" w:hAnsi="Times New Roman" w:cs="Times New Roman"/>
          <w:sz w:val="24"/>
          <w:szCs w:val="24"/>
        </w:rPr>
        <w:t xml:space="preserve"> dominante, ressaltando a existência de</w:t>
      </w:r>
      <w:r w:rsidRPr="00050126">
        <w:rPr>
          <w:rFonts w:ascii="Times New Roman" w:hAnsi="Times New Roman" w:cs="Times New Roman"/>
          <w:sz w:val="24"/>
          <w:szCs w:val="24"/>
        </w:rPr>
        <w:t xml:space="preserve"> transições que são guiadas por problemas sociais, chamadas de transições intencionais, que tem um propósito (</w:t>
      </w:r>
      <w:r w:rsidRPr="00050126">
        <w:rPr>
          <w:rFonts w:ascii="Times New Roman" w:hAnsi="Times New Roman" w:cs="Times New Roman"/>
          <w:i/>
          <w:sz w:val="24"/>
          <w:szCs w:val="24"/>
        </w:rPr>
        <w:t>purposive transitions</w:t>
      </w:r>
      <w:r w:rsidRPr="00050126">
        <w:rPr>
          <w:rFonts w:ascii="Times New Roman" w:hAnsi="Times New Roman" w:cs="Times New Roman"/>
          <w:sz w:val="24"/>
          <w:szCs w:val="24"/>
        </w:rPr>
        <w:t>).</w:t>
      </w:r>
      <w:r>
        <w:rPr>
          <w:rFonts w:ascii="Times New Roman" w:hAnsi="Times New Roman" w:cs="Times New Roman"/>
          <w:sz w:val="24"/>
          <w:szCs w:val="24"/>
        </w:rPr>
        <w:t xml:space="preserve"> Nesses casos, é esperado que processos sociais, culturais e políticos precedam rupturas tecnológicas, e a atual preocupação com as mudanças climáticas é um caso emblemático. </w:t>
      </w:r>
    </w:p>
    <w:p w:rsidR="002E5531" w:rsidRPr="002E5531" w:rsidRDefault="002E5531" w:rsidP="002E5531">
      <w:pPr>
        <w:spacing w:line="360" w:lineRule="auto"/>
        <w:ind w:firstLine="708"/>
        <w:rPr>
          <w:rFonts w:ascii="Times New Roman" w:hAnsi="Times New Roman" w:cs="Times New Roman"/>
          <w:sz w:val="24"/>
          <w:szCs w:val="24"/>
        </w:rPr>
      </w:pPr>
      <w:r>
        <w:rPr>
          <w:rFonts w:ascii="Times New Roman" w:hAnsi="Times New Roman" w:cs="Times New Roman"/>
          <w:sz w:val="24"/>
          <w:szCs w:val="24"/>
        </w:rPr>
        <w:t>A observação de Geels (2010) é interessante porque grande parte dos estudos em Economia Evolucionária se dedicou a tratar de questões associadas à tecnologia e inovação, bem como as bases institucionais para seu desenvolvimento, mas pouca atenção foi dada para o processo mais amplo de coevolução destes elementos com a política e a sociedade civil.</w:t>
      </w:r>
    </w:p>
    <w:p w:rsidR="00275052" w:rsidRPr="002E6034" w:rsidRDefault="00275052" w:rsidP="002E6034">
      <w:pPr>
        <w:spacing w:line="360" w:lineRule="auto"/>
        <w:ind w:firstLine="709"/>
        <w:rPr>
          <w:rFonts w:ascii="Times New Roman" w:hAnsi="Times New Roman" w:cs="Times New Roman"/>
          <w:sz w:val="24"/>
          <w:szCs w:val="24"/>
          <w:lang w:val="pt-PT"/>
        </w:rPr>
      </w:pPr>
      <w:r>
        <w:rPr>
          <w:rFonts w:ascii="Times New Roman" w:hAnsi="Times New Roman" w:cs="Times New Roman"/>
          <w:sz w:val="24"/>
          <w:szCs w:val="24"/>
          <w:lang w:val="pt-PT"/>
        </w:rPr>
        <w:t>O conceito de coevolução apresentado por Nelson (1994, 2007) vem ao encontro da abordagem apresentada por Geels</w:t>
      </w:r>
      <w:r w:rsidR="002E6034">
        <w:rPr>
          <w:rFonts w:ascii="Times New Roman" w:hAnsi="Times New Roman" w:cs="Times New Roman"/>
          <w:sz w:val="24"/>
          <w:szCs w:val="24"/>
          <w:lang w:val="pt-PT"/>
        </w:rPr>
        <w:t xml:space="preserve"> (2004</w:t>
      </w:r>
      <w:r w:rsidR="002E5531">
        <w:rPr>
          <w:rFonts w:ascii="Times New Roman" w:hAnsi="Times New Roman" w:cs="Times New Roman"/>
          <w:sz w:val="24"/>
          <w:szCs w:val="24"/>
          <w:lang w:val="pt-PT"/>
        </w:rPr>
        <w:t>, 2010</w:t>
      </w:r>
      <w:r w:rsidR="002E6034">
        <w:rPr>
          <w:rFonts w:ascii="Times New Roman" w:hAnsi="Times New Roman" w:cs="Times New Roman"/>
          <w:sz w:val="24"/>
          <w:szCs w:val="24"/>
          <w:lang w:val="pt-PT"/>
        </w:rPr>
        <w:t>)</w:t>
      </w:r>
      <w:r>
        <w:rPr>
          <w:rFonts w:ascii="Times New Roman" w:hAnsi="Times New Roman" w:cs="Times New Roman"/>
          <w:sz w:val="24"/>
          <w:szCs w:val="24"/>
          <w:lang w:val="pt-PT"/>
        </w:rPr>
        <w:t xml:space="preserve">, buscando incorporar aspectos relevantes do lado da demanda, em vez de enfatizar somente o lado da produção (criação de conhecimento e </w:t>
      </w:r>
      <w:r>
        <w:rPr>
          <w:rFonts w:ascii="Times New Roman" w:hAnsi="Times New Roman" w:cs="Times New Roman"/>
          <w:sz w:val="24"/>
          <w:szCs w:val="24"/>
          <w:lang w:val="pt-PT"/>
        </w:rPr>
        <w:lastRenderedPageBreak/>
        <w:t>inovação). Afinal, os consumidores também devem incorporar novas tecnologias em seus hábitos e rotinas, o que envolve ajustes e aprendizado.</w:t>
      </w:r>
      <w:r w:rsidR="003979B4">
        <w:rPr>
          <w:rFonts w:ascii="Times New Roman" w:hAnsi="Times New Roman" w:cs="Times New Roman"/>
          <w:sz w:val="24"/>
          <w:szCs w:val="24"/>
          <w:lang w:val="pt-PT"/>
        </w:rPr>
        <w:t xml:space="preserve"> </w:t>
      </w:r>
    </w:p>
    <w:p w:rsidR="00275052" w:rsidRDefault="00275052" w:rsidP="00622A43">
      <w:pPr>
        <w:pStyle w:val="Ttulo1"/>
      </w:pPr>
    </w:p>
    <w:p w:rsidR="005A6636" w:rsidRDefault="006F2751" w:rsidP="00D367B9">
      <w:pPr>
        <w:pStyle w:val="Ttulo2"/>
        <w:rPr>
          <w:lang w:val="pt-PT"/>
        </w:rPr>
      </w:pPr>
      <w:bookmarkStart w:id="6" w:name="_Toc333911336"/>
      <w:r>
        <w:rPr>
          <w:lang w:val="pt-PT"/>
        </w:rPr>
        <w:t>1.</w:t>
      </w:r>
      <w:r w:rsidR="00275052">
        <w:rPr>
          <w:lang w:val="pt-PT"/>
        </w:rPr>
        <w:t>5</w:t>
      </w:r>
      <w:r w:rsidR="005A6636">
        <w:rPr>
          <w:lang w:val="pt-PT"/>
        </w:rPr>
        <w:t xml:space="preserve"> Coevolução das tecnologias sociais e tecnologias físicas</w:t>
      </w:r>
      <w:bookmarkEnd w:id="6"/>
      <w:r w:rsidR="005A6636">
        <w:rPr>
          <w:highlight w:val="yellow"/>
          <w:lang w:val="pt-PT"/>
        </w:rPr>
        <w:t xml:space="preserve"> </w:t>
      </w:r>
    </w:p>
    <w:p w:rsidR="00622A43" w:rsidRDefault="00622A43" w:rsidP="00622A43">
      <w:pPr>
        <w:spacing w:line="360" w:lineRule="auto"/>
        <w:ind w:firstLine="708"/>
        <w:rPr>
          <w:rFonts w:ascii="Times New Roman" w:hAnsi="Times New Roman" w:cs="Times New Roman"/>
          <w:sz w:val="24"/>
          <w:szCs w:val="24"/>
          <w:lang w:val="pt-PT"/>
        </w:rPr>
      </w:pPr>
    </w:p>
    <w:p w:rsidR="00622A43" w:rsidRDefault="001C3F34" w:rsidP="00622A43">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Além der feito importantes contribuições relacionadas a fatores estruturais e estratégicos dentro das organizações, Richard Nelson </w:t>
      </w:r>
      <w:r w:rsidR="00213B3A">
        <w:rPr>
          <w:rFonts w:ascii="Times New Roman" w:hAnsi="Times New Roman" w:cs="Times New Roman"/>
          <w:sz w:val="24"/>
          <w:szCs w:val="24"/>
          <w:lang w:val="pt-PT"/>
        </w:rPr>
        <w:t xml:space="preserve">estudou </w:t>
      </w:r>
      <w:r w:rsidR="00622A43">
        <w:rPr>
          <w:rFonts w:ascii="Times New Roman" w:hAnsi="Times New Roman" w:cs="Times New Roman"/>
          <w:sz w:val="24"/>
          <w:szCs w:val="24"/>
          <w:lang w:val="pt-PT"/>
        </w:rPr>
        <w:t xml:space="preserve">o papel das instituições </w:t>
      </w:r>
      <w:r w:rsidR="003979B4">
        <w:rPr>
          <w:rFonts w:ascii="Times New Roman" w:hAnsi="Times New Roman" w:cs="Times New Roman"/>
          <w:sz w:val="24"/>
          <w:szCs w:val="24"/>
          <w:lang w:val="pt-PT"/>
        </w:rPr>
        <w:t>sobre a velocidade do progresso econômico</w:t>
      </w:r>
      <w:r w:rsidR="00622A43">
        <w:rPr>
          <w:rFonts w:ascii="Times New Roman" w:hAnsi="Times New Roman" w:cs="Times New Roman"/>
          <w:sz w:val="24"/>
          <w:szCs w:val="24"/>
          <w:lang w:val="pt-PT"/>
        </w:rPr>
        <w:t>, analisando a relação entre instituições e mudança instituc</w:t>
      </w:r>
      <w:r w:rsidR="003979B4">
        <w:rPr>
          <w:rFonts w:ascii="Times New Roman" w:hAnsi="Times New Roman" w:cs="Times New Roman"/>
          <w:sz w:val="24"/>
          <w:szCs w:val="24"/>
          <w:lang w:val="pt-PT"/>
        </w:rPr>
        <w:t>ional e avanço tecnológico. Trabalhos</w:t>
      </w:r>
      <w:r w:rsidR="00622A43">
        <w:rPr>
          <w:rFonts w:ascii="Times New Roman" w:hAnsi="Times New Roman" w:cs="Times New Roman"/>
          <w:sz w:val="24"/>
          <w:szCs w:val="24"/>
          <w:lang w:val="pt-PT"/>
        </w:rPr>
        <w:t xml:space="preserve"> recentes</w:t>
      </w:r>
      <w:r w:rsidR="003979B4">
        <w:rPr>
          <w:rFonts w:ascii="Times New Roman" w:hAnsi="Times New Roman" w:cs="Times New Roman"/>
          <w:sz w:val="24"/>
          <w:szCs w:val="24"/>
          <w:lang w:val="pt-PT"/>
        </w:rPr>
        <w:t xml:space="preserve"> do autor</w:t>
      </w:r>
      <w:r w:rsidR="00622A43">
        <w:rPr>
          <w:rFonts w:ascii="Times New Roman" w:hAnsi="Times New Roman" w:cs="Times New Roman"/>
          <w:sz w:val="24"/>
          <w:szCs w:val="24"/>
          <w:lang w:val="pt-PT"/>
        </w:rPr>
        <w:t xml:space="preserve"> se baseiam no resgate do conceito de “tecnologias sociais”, que servem de apoio às “tecnologias físicas”. O objetivo do autor é explorar a etapa intermediária da relação causal entre as instituições “corretas” e o crescimento econômico, que muitos economistas buscaram estudar após a publicação de North (1990) (NELSON, 2008). </w:t>
      </w:r>
    </w:p>
    <w:p w:rsidR="00622A43" w:rsidRDefault="00622A43" w:rsidP="00622A43">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A compreensão da relação entre as instituições e o avanço tecnológico é fundamental, já que este é um dos principais determinantes do crescimento econômico. Apesar de essa linha de pesquisa ter adquirido importância com o crescente número de estudos sobre os sistemas de inovação, em que se destaca a publicação de Dosi et al. (1988), a intenção de evoluir desses estudos para análises mais abrangentes de crescimento econômico permanece frustrada. O ponto de partida para a análise de Nelson (2008) é que o crescimento econômico liderado por inovação precisa ser compreendido como processo de coevolução de tecnologias físicas e sociais e a dinâmica institucional dever ser estudada sob essa ótica. </w:t>
      </w:r>
    </w:p>
    <w:p w:rsidR="00622A43" w:rsidRDefault="00622A43" w:rsidP="00622A43">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Na tentativa de definir o que são instituições, um grande número de estudos que as têm como objeto de pesquisa - sob influência de autores como Douglass North, Oliver Williamson, Thorstein Veblen e Geoffrey Hodgson - utiliza o termo para se referir aos fatores que sustentam maneiras habituais de agir em situações nas quais as ações e interações de uma série de agentes diferentes determinam o resultado final. O termo “tecnologias sociais” seria, desse modo, uma forma mais coerente de expressar essa ideia, indicando o modo como as atividades estão divididas e coordenadas entre os agentes (NELSON; SAMPAT, 2001). </w:t>
      </w:r>
    </w:p>
    <w:p w:rsidR="00622A43" w:rsidRDefault="003356BC" w:rsidP="00622A43">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Nesse contexto, as institu</w:t>
      </w:r>
      <w:r w:rsidR="00622A43">
        <w:rPr>
          <w:rFonts w:ascii="Times New Roman" w:hAnsi="Times New Roman" w:cs="Times New Roman"/>
          <w:sz w:val="24"/>
          <w:szCs w:val="24"/>
          <w:lang w:val="pt-PT"/>
        </w:rPr>
        <w:t>ições são forças e estruturas que moldam e sustentam as tecnologias sociais predominantes. Definidas desse modo, podem se referir a crenças comuns, organizações, ou conjuntos de leis, a depender das tecnologias sociais sob análise. Na visão de Nelson e Sampat (2001), as tecnologias sociais que são amplamente empregadas em uma economia são suportadas e, ao mesmo tempo, sofrem restrições das instituições. Mas as linhas que separam umas das outras, muitas vezes, podem não ser tão nítidas.</w:t>
      </w:r>
    </w:p>
    <w:p w:rsidR="00622A43" w:rsidRDefault="00622A43" w:rsidP="00622A43">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lastRenderedPageBreak/>
        <w:t xml:space="preserve">Para ilustrar seu argumento, Nelson (2008) utiliza como exemplo o desenvolvimento de tecnologias que permitiram a criação do telégrafo e das ferrovias, abrindo a possibilidade de atender mercados maiores para as empresas norte-americanas. Com a criação de métodos de produção industrial em larga escala foi necessário adaptar as formas de gestão empresarial, o que deu origem à moderna empresa organizada em hierarquia e depois à empresa multidivisional. Assim, surgiram as escolas de negócios para treinar profissionais aptos a atuar em organizações mais complexas. Todos esses desenvolvimentos geraram conflitos com as leis e regras então vigentes (aperfeiçoamento da legislação antitruste, por exemplo), que foram resolvidos gradualmente. </w:t>
      </w:r>
    </w:p>
    <w:p w:rsidR="00622A43" w:rsidRDefault="00622A43" w:rsidP="00622A43">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Nelson mostra assim que a evolução das tecnologias sociais e</w:t>
      </w:r>
      <w:r w:rsidR="003979B4">
        <w:rPr>
          <w:rFonts w:ascii="Times New Roman" w:hAnsi="Times New Roman" w:cs="Times New Roman"/>
          <w:sz w:val="24"/>
          <w:szCs w:val="24"/>
          <w:lang w:val="pt-PT"/>
        </w:rPr>
        <w:t xml:space="preserve"> de suas instituições de apoio pode ser</w:t>
      </w:r>
      <w:r>
        <w:rPr>
          <w:rFonts w:ascii="Times New Roman" w:hAnsi="Times New Roman" w:cs="Times New Roman"/>
          <w:sz w:val="24"/>
          <w:szCs w:val="24"/>
          <w:lang w:val="pt-PT"/>
        </w:rPr>
        <w:t xml:space="preserve"> um processo muito mais errático do que o observado com as tecnologias físicas. Primeiro, porque as forças de seleção, que incluem o aprendizado com experiências passadas, são menos eficazes. Segundo, é muito mais difícil controlar, imitar e replicar instituições. Além disso, as medidas de eficiência para tecnologias físicas funcionam de forma bem mais objetiva do que para tecnologias sociais, dado que é extremamente difícil isolar o efeito das instituições de outras variáveis explicativas sobre o desempenho das firmas ou o bem-estar dos consumidores. A evolução de tecnologias sociais pode ainda ser inf</w:t>
      </w:r>
      <w:r w:rsidR="00E92DFE">
        <w:rPr>
          <w:rFonts w:ascii="Times New Roman" w:hAnsi="Times New Roman" w:cs="Times New Roman"/>
          <w:sz w:val="24"/>
          <w:szCs w:val="24"/>
          <w:lang w:val="pt-PT"/>
        </w:rPr>
        <w:t>luenciada por ideologias, permitindo que</w:t>
      </w:r>
      <w:r>
        <w:rPr>
          <w:rFonts w:ascii="Times New Roman" w:hAnsi="Times New Roman" w:cs="Times New Roman"/>
          <w:sz w:val="24"/>
          <w:szCs w:val="24"/>
          <w:lang w:val="pt-PT"/>
        </w:rPr>
        <w:t>, mesmo havendo evidências de que são ineficaze</w:t>
      </w:r>
      <w:r w:rsidR="00E92DFE">
        <w:rPr>
          <w:rFonts w:ascii="Times New Roman" w:hAnsi="Times New Roman" w:cs="Times New Roman"/>
          <w:sz w:val="24"/>
          <w:szCs w:val="24"/>
          <w:lang w:val="pt-PT"/>
        </w:rPr>
        <w:t>s, as práticas adotadas se mostrem</w:t>
      </w:r>
      <w:r>
        <w:rPr>
          <w:rFonts w:ascii="Times New Roman" w:hAnsi="Times New Roman" w:cs="Times New Roman"/>
          <w:sz w:val="24"/>
          <w:szCs w:val="24"/>
          <w:lang w:val="pt-PT"/>
        </w:rPr>
        <w:t xml:space="preserve"> resistentes à mudança.</w:t>
      </w:r>
    </w:p>
    <w:p w:rsidR="00622A43" w:rsidRPr="002F4C9C" w:rsidRDefault="00622A43" w:rsidP="002F4C9C">
      <w:pPr>
        <w:spacing w:line="360" w:lineRule="auto"/>
        <w:ind w:firstLine="708"/>
        <w:rPr>
          <w:rFonts w:ascii="Times New Roman" w:hAnsi="Times New Roman" w:cs="Times New Roman"/>
          <w:sz w:val="24"/>
          <w:szCs w:val="24"/>
        </w:rPr>
      </w:pPr>
      <w:r w:rsidRPr="00A634FC">
        <w:rPr>
          <w:rFonts w:ascii="Times New Roman" w:hAnsi="Times New Roman" w:cs="Times New Roman"/>
          <w:sz w:val="24"/>
          <w:szCs w:val="24"/>
          <w:lang w:val="pt-PT"/>
        </w:rPr>
        <w:t>Apesar de não fazer uso da mesma nomencla</w:t>
      </w:r>
      <w:r>
        <w:rPr>
          <w:rFonts w:ascii="Times New Roman" w:hAnsi="Times New Roman" w:cs="Times New Roman"/>
          <w:sz w:val="24"/>
          <w:szCs w:val="24"/>
          <w:lang w:val="pt-PT"/>
        </w:rPr>
        <w:t>tura utilizada por Nelson</w:t>
      </w:r>
      <w:r w:rsidR="002E5531">
        <w:rPr>
          <w:rFonts w:ascii="Times New Roman" w:hAnsi="Times New Roman" w:cs="Times New Roman"/>
          <w:sz w:val="24"/>
          <w:szCs w:val="24"/>
          <w:lang w:val="pt-PT"/>
        </w:rPr>
        <w:t xml:space="preserve"> (2008)</w:t>
      </w:r>
      <w:r>
        <w:rPr>
          <w:rFonts w:ascii="Times New Roman" w:hAnsi="Times New Roman" w:cs="Times New Roman"/>
          <w:sz w:val="24"/>
          <w:szCs w:val="24"/>
          <w:lang w:val="pt-PT"/>
        </w:rPr>
        <w:t>, Malerba (2006) aponta a coevolução como um dos principais desafios para uma melhor compreensão da relação entre inovação e evolução das indústrias, que historicamente marcou o desenvolvimento do capitalismo</w:t>
      </w:r>
      <w:r w:rsidR="005A7638">
        <w:rPr>
          <w:rFonts w:ascii="Times New Roman" w:hAnsi="Times New Roman" w:cs="Times New Roman"/>
          <w:sz w:val="24"/>
          <w:szCs w:val="24"/>
          <w:lang w:val="pt-PT"/>
        </w:rPr>
        <w:t>, propondo uma noção mais abrangente de estrutura industrial a ser analisada:</w:t>
      </w:r>
    </w:p>
    <w:p w:rsidR="00622A43" w:rsidRDefault="00622A43" w:rsidP="00622A43">
      <w:pPr>
        <w:spacing w:line="360" w:lineRule="auto"/>
        <w:ind w:firstLine="708"/>
        <w:rPr>
          <w:rFonts w:ascii="Times New Roman" w:hAnsi="Times New Roman" w:cs="Times New Roman"/>
          <w:sz w:val="24"/>
          <w:szCs w:val="24"/>
          <w:lang w:val="pt-PT"/>
        </w:rPr>
      </w:pPr>
    </w:p>
    <w:p w:rsidR="00622A43" w:rsidRPr="0080104E" w:rsidRDefault="00622A43" w:rsidP="00622A43">
      <w:pPr>
        <w:ind w:left="2268"/>
        <w:rPr>
          <w:rFonts w:ascii="Times New Roman" w:hAnsi="Times New Roman" w:cs="Times New Roman"/>
        </w:rPr>
      </w:pPr>
      <w:r w:rsidRPr="00845AE6">
        <w:rPr>
          <w:rFonts w:ascii="Times New Roman" w:hAnsi="Times New Roman" w:cs="Times New Roman"/>
          <w:lang w:val="en-US"/>
        </w:rPr>
        <w:t>During its evolution, an industry undergoes a process of transformation that involves knowledge, technologies, learning, the features and competences of actors, types of products and processes, and institutions. An industry also changes its structure, where the term ‘structure’ here means not market structure, but rather the network of relationships (competitive and cooperative, market and non market, formal and informal) among actors that affect innovation and performance in an industry. In this frame, innovation and industry evolution may be seen as (…) taking place in specific institutional settings, some of which are national while other</w:t>
      </w:r>
      <w:r>
        <w:rPr>
          <w:rFonts w:ascii="Times New Roman" w:hAnsi="Times New Roman" w:cs="Times New Roman"/>
          <w:lang w:val="en-US"/>
        </w:rPr>
        <w:t>s</w:t>
      </w:r>
      <w:r w:rsidRPr="00845AE6">
        <w:rPr>
          <w:rFonts w:ascii="Times New Roman" w:hAnsi="Times New Roman" w:cs="Times New Roman"/>
          <w:lang w:val="en-US"/>
        </w:rPr>
        <w:t xml:space="preserve"> are specific to the sector (…). </w:t>
      </w:r>
      <w:r w:rsidRPr="0080104E">
        <w:rPr>
          <w:rFonts w:ascii="Times New Roman" w:hAnsi="Times New Roman" w:cs="Times New Roman"/>
        </w:rPr>
        <w:t>(MALERBA, 2006, p. 8)</w:t>
      </w:r>
    </w:p>
    <w:p w:rsidR="00622A43" w:rsidRPr="0080104E" w:rsidRDefault="00622A43" w:rsidP="00622A43">
      <w:pPr>
        <w:spacing w:line="360" w:lineRule="auto"/>
        <w:rPr>
          <w:rFonts w:ascii="Times New Roman" w:hAnsi="Times New Roman" w:cs="Times New Roman"/>
          <w:sz w:val="24"/>
          <w:szCs w:val="24"/>
        </w:rPr>
      </w:pPr>
    </w:p>
    <w:p w:rsidR="00622A43" w:rsidRDefault="00622A43" w:rsidP="00622A43">
      <w:pPr>
        <w:spacing w:line="360" w:lineRule="auto"/>
        <w:ind w:firstLine="708"/>
        <w:rPr>
          <w:rFonts w:ascii="Times New Roman" w:hAnsi="Times New Roman" w:cs="Times New Roman"/>
          <w:sz w:val="24"/>
          <w:szCs w:val="24"/>
        </w:rPr>
      </w:pPr>
      <w:r w:rsidRPr="00623FB5">
        <w:rPr>
          <w:rFonts w:ascii="Times New Roman" w:hAnsi="Times New Roman" w:cs="Times New Roman"/>
          <w:sz w:val="24"/>
          <w:szCs w:val="24"/>
        </w:rPr>
        <w:t>Nesse sentido, o conceito de coevoluç</w:t>
      </w:r>
      <w:r>
        <w:rPr>
          <w:rFonts w:ascii="Times New Roman" w:hAnsi="Times New Roman" w:cs="Times New Roman"/>
          <w:sz w:val="24"/>
          <w:szCs w:val="24"/>
        </w:rPr>
        <w:t xml:space="preserve">ão agrega os elementos mais relevantes para a análise da transformação industrial: os processos coevolucionários envolvem conhecimento e </w:t>
      </w:r>
      <w:r>
        <w:rPr>
          <w:rFonts w:ascii="Times New Roman" w:hAnsi="Times New Roman" w:cs="Times New Roman"/>
          <w:sz w:val="24"/>
          <w:szCs w:val="24"/>
        </w:rPr>
        <w:lastRenderedPageBreak/>
        <w:t>aprendizado, tecnologias, interações agentes, demandas e instituições, e geralmente dependem da trajetória passada, sendo específicos a cada setor. Segundo Malerba, alterações em um desses elementos podem acarretar mudanças significativas em todo o conjunto que caracteriza uma indústria, o que nos leva a discussões sobre a mudança conjunta de diversas variáveis durante a evolução industrial:</w:t>
      </w:r>
    </w:p>
    <w:p w:rsidR="00622A43" w:rsidRDefault="00622A43" w:rsidP="00622A43">
      <w:pPr>
        <w:spacing w:line="360" w:lineRule="auto"/>
        <w:ind w:firstLine="709"/>
        <w:rPr>
          <w:rFonts w:ascii="Times New Roman" w:hAnsi="Times New Roman" w:cs="Times New Roman"/>
          <w:sz w:val="24"/>
          <w:szCs w:val="24"/>
        </w:rPr>
      </w:pPr>
    </w:p>
    <w:p w:rsidR="00622A43" w:rsidRDefault="00622A43" w:rsidP="00622A43">
      <w:pPr>
        <w:ind w:left="2268"/>
        <w:rPr>
          <w:rFonts w:ascii="Times New Roman" w:hAnsi="Times New Roman" w:cs="Times New Roman"/>
        </w:rPr>
      </w:pPr>
      <w:r w:rsidRPr="000F3E13">
        <w:rPr>
          <w:rFonts w:ascii="Times New Roman" w:hAnsi="Times New Roman" w:cs="Times New Roman"/>
          <w:lang w:val="en-US"/>
        </w:rPr>
        <w:t>In general, one could say that changes in the specific knowledge base of an industry or in the features of demand may affect the specific characteristics of the actors, the type of organization of R&amp;D, the features of the innovative process and of networks, the structure of the market and the specific role of the institutions. All these changes may in turn lead to further modifications in the technology, the knowledge base, demand, and so on.</w:t>
      </w:r>
      <w:r>
        <w:rPr>
          <w:rFonts w:ascii="Times New Roman" w:hAnsi="Times New Roman" w:cs="Times New Roman"/>
          <w:lang w:val="en-US"/>
        </w:rPr>
        <w:t xml:space="preserve"> </w:t>
      </w:r>
      <w:r w:rsidRPr="00957DE6">
        <w:rPr>
          <w:rFonts w:ascii="Times New Roman" w:hAnsi="Times New Roman" w:cs="Times New Roman"/>
        </w:rPr>
        <w:t>(</w:t>
      </w:r>
      <w:r w:rsidR="002E5531">
        <w:rPr>
          <w:rFonts w:ascii="Times New Roman" w:hAnsi="Times New Roman" w:cs="Times New Roman"/>
        </w:rPr>
        <w:t xml:space="preserve">MALERBA, 2006, </w:t>
      </w:r>
      <w:r w:rsidRPr="00957DE6">
        <w:rPr>
          <w:rFonts w:ascii="Times New Roman" w:hAnsi="Times New Roman" w:cs="Times New Roman"/>
        </w:rPr>
        <w:t>p. 17)</w:t>
      </w:r>
    </w:p>
    <w:p w:rsidR="00622A43" w:rsidRPr="00CD5868" w:rsidRDefault="00622A43" w:rsidP="00622A43">
      <w:pPr>
        <w:ind w:left="1416"/>
        <w:rPr>
          <w:rFonts w:ascii="Times New Roman" w:hAnsi="Times New Roman" w:cs="Times New Roman"/>
          <w:sz w:val="24"/>
          <w:szCs w:val="24"/>
        </w:rPr>
      </w:pPr>
    </w:p>
    <w:p w:rsidR="00622A43" w:rsidRPr="00EF3AE2" w:rsidRDefault="00622A43" w:rsidP="00622A43">
      <w:pPr>
        <w:spacing w:line="360" w:lineRule="auto"/>
        <w:ind w:firstLine="708"/>
        <w:rPr>
          <w:rFonts w:ascii="Times New Roman" w:hAnsi="Times New Roman" w:cs="Times New Roman"/>
          <w:color w:val="FF0000"/>
          <w:sz w:val="24"/>
          <w:szCs w:val="24"/>
        </w:rPr>
      </w:pPr>
      <w:r>
        <w:rPr>
          <w:rFonts w:ascii="Times New Roman" w:hAnsi="Times New Roman" w:cs="Times New Roman"/>
          <w:sz w:val="24"/>
          <w:szCs w:val="24"/>
        </w:rPr>
        <w:t xml:space="preserve">Buscando descrever possíveis desdobramentos de mudanças em um dos elementos, </w:t>
      </w:r>
      <w:r w:rsidR="002F4C9C">
        <w:rPr>
          <w:rFonts w:ascii="Times New Roman" w:hAnsi="Times New Roman" w:cs="Times New Roman"/>
          <w:sz w:val="24"/>
          <w:szCs w:val="24"/>
        </w:rPr>
        <w:t>o autor</w:t>
      </w:r>
      <w:r>
        <w:rPr>
          <w:rFonts w:ascii="Times New Roman" w:hAnsi="Times New Roman" w:cs="Times New Roman"/>
          <w:sz w:val="24"/>
          <w:szCs w:val="24"/>
        </w:rPr>
        <w:t xml:space="preserve"> cita inúmeros estudos empíricos sobre coevolução em setores específicos, incluindo desde produtos químicos, farmacêuticos, até computadores e aeronaves. No caso da bioindústria</w:t>
      </w:r>
      <w:r w:rsidRPr="000F3E13">
        <w:rPr>
          <w:rFonts w:ascii="Times New Roman" w:hAnsi="Times New Roman" w:cs="Times New Roman"/>
          <w:sz w:val="24"/>
          <w:szCs w:val="24"/>
        </w:rPr>
        <w:t>, a</w:t>
      </w:r>
      <w:r>
        <w:rPr>
          <w:rFonts w:ascii="Times New Roman" w:hAnsi="Times New Roman" w:cs="Times New Roman"/>
          <w:sz w:val="24"/>
          <w:szCs w:val="24"/>
        </w:rPr>
        <w:t xml:space="preserve">pesar de a </w:t>
      </w:r>
      <w:r w:rsidRPr="000F3E13">
        <w:rPr>
          <w:rFonts w:ascii="Times New Roman" w:hAnsi="Times New Roman" w:cs="Times New Roman"/>
          <w:sz w:val="24"/>
          <w:szCs w:val="24"/>
        </w:rPr>
        <w:t xml:space="preserve">introdução de inovações </w:t>
      </w:r>
      <w:r w:rsidR="00C278B0">
        <w:rPr>
          <w:rFonts w:ascii="Times New Roman" w:hAnsi="Times New Roman" w:cs="Times New Roman"/>
          <w:sz w:val="24"/>
          <w:szCs w:val="24"/>
        </w:rPr>
        <w:t>não ser</w:t>
      </w:r>
      <w:r>
        <w:rPr>
          <w:rFonts w:ascii="Times New Roman" w:hAnsi="Times New Roman" w:cs="Times New Roman"/>
          <w:sz w:val="24"/>
          <w:szCs w:val="24"/>
        </w:rPr>
        <w:t xml:space="preserve"> liderada pelos consumidores de combustíveis, dado que a demanda pode </w:t>
      </w:r>
      <w:r w:rsidRPr="000F3E13">
        <w:rPr>
          <w:rFonts w:ascii="Times New Roman" w:hAnsi="Times New Roman" w:cs="Times New Roman"/>
          <w:sz w:val="24"/>
          <w:szCs w:val="24"/>
        </w:rPr>
        <w:t>ser considerada bastante homog</w:t>
      </w:r>
      <w:r>
        <w:rPr>
          <w:rFonts w:ascii="Times New Roman" w:hAnsi="Times New Roman" w:cs="Times New Roman"/>
          <w:sz w:val="24"/>
          <w:szCs w:val="24"/>
        </w:rPr>
        <w:t xml:space="preserve">ênea, verifica-se uma mudança nas crenças e valores culturais, em que a questão ambiental passa a ter maior importância. A introdução desse novo elemento alterou as estratégias de empresas de diversos setores, influenciando o modo como elas fazem intercâmbio de ativos e conhecimentos, como se relacionam. Há diversas nuances da nova bioindústria em formação que poderiam ser ressaltadas quanto a esse processo evolutivo. </w:t>
      </w:r>
    </w:p>
    <w:p w:rsidR="00622A43" w:rsidRDefault="00622A43" w:rsidP="00622A43">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Seguindo a abordagem destes autores, existem alguns estudos sobre a evolução de determinados fatores observados na indústria sucroalcooleira no Brasil. À luz dos conceitos de Nelson e Sampat (2001), por exemplo, Matias (2011) analisa o processo de coevolução institucional e as trajetórias tecnológicas na produção brasileira de etanol em três níveis. O primeiro se refere às macro-instituições, o segundo às meso-instituições, e o terceiro aos institutos </w:t>
      </w:r>
      <w:r w:rsidR="00B0125C">
        <w:rPr>
          <w:rFonts w:ascii="Times New Roman" w:hAnsi="Times New Roman" w:cs="Times New Roman"/>
          <w:sz w:val="24"/>
          <w:szCs w:val="24"/>
          <w:lang w:val="pt-PT"/>
        </w:rPr>
        <w:t>de pesquisa, como a</w:t>
      </w:r>
      <w:r>
        <w:rPr>
          <w:rFonts w:ascii="Times New Roman" w:hAnsi="Times New Roman" w:cs="Times New Roman"/>
          <w:sz w:val="24"/>
          <w:szCs w:val="24"/>
          <w:lang w:val="pt-PT"/>
        </w:rPr>
        <w:t xml:space="preserve"> </w:t>
      </w:r>
      <w:r w:rsidR="00B0125C">
        <w:rPr>
          <w:rFonts w:ascii="Times New Roman" w:hAnsi="Times New Roman" w:cs="Times New Roman"/>
          <w:sz w:val="24"/>
          <w:szCs w:val="24"/>
          <w:lang w:val="pt-PT"/>
        </w:rPr>
        <w:t>Rede Interuniversitária para o Desenvolvimento do Setor Sucroenergético (</w:t>
      </w:r>
      <w:r>
        <w:rPr>
          <w:rFonts w:ascii="Times New Roman" w:hAnsi="Times New Roman" w:cs="Times New Roman"/>
          <w:sz w:val="24"/>
          <w:szCs w:val="24"/>
          <w:lang w:val="pt-PT"/>
        </w:rPr>
        <w:t>RIDESA</w:t>
      </w:r>
      <w:r w:rsidR="00B0125C">
        <w:rPr>
          <w:rFonts w:ascii="Times New Roman" w:hAnsi="Times New Roman" w:cs="Times New Roman"/>
          <w:sz w:val="24"/>
          <w:szCs w:val="24"/>
          <w:lang w:val="pt-PT"/>
        </w:rPr>
        <w:t>)</w:t>
      </w:r>
      <w:r>
        <w:rPr>
          <w:rFonts w:ascii="Times New Roman" w:hAnsi="Times New Roman" w:cs="Times New Roman"/>
          <w:sz w:val="24"/>
          <w:szCs w:val="24"/>
          <w:lang w:val="pt-PT"/>
        </w:rPr>
        <w:t xml:space="preserve">, </w:t>
      </w:r>
      <w:r w:rsidR="00B0125C">
        <w:rPr>
          <w:rFonts w:ascii="Times New Roman" w:hAnsi="Times New Roman" w:cs="Times New Roman"/>
          <w:sz w:val="24"/>
          <w:szCs w:val="24"/>
          <w:lang w:val="pt-PT"/>
        </w:rPr>
        <w:t>o Centro de Tecnologia Canavieira (</w:t>
      </w:r>
      <w:r>
        <w:rPr>
          <w:rFonts w:ascii="Times New Roman" w:hAnsi="Times New Roman" w:cs="Times New Roman"/>
          <w:sz w:val="24"/>
          <w:szCs w:val="24"/>
          <w:lang w:val="pt-PT"/>
        </w:rPr>
        <w:t>CTC</w:t>
      </w:r>
      <w:r w:rsidR="00B0125C">
        <w:rPr>
          <w:rFonts w:ascii="Times New Roman" w:hAnsi="Times New Roman" w:cs="Times New Roman"/>
          <w:sz w:val="24"/>
          <w:szCs w:val="24"/>
          <w:lang w:val="pt-PT"/>
        </w:rPr>
        <w:t>)</w:t>
      </w:r>
      <w:r>
        <w:rPr>
          <w:rFonts w:ascii="Times New Roman" w:hAnsi="Times New Roman" w:cs="Times New Roman"/>
          <w:sz w:val="24"/>
          <w:szCs w:val="24"/>
          <w:lang w:val="pt-PT"/>
        </w:rPr>
        <w:t xml:space="preserve"> e</w:t>
      </w:r>
      <w:r w:rsidR="00B0125C">
        <w:rPr>
          <w:rFonts w:ascii="Times New Roman" w:hAnsi="Times New Roman" w:cs="Times New Roman"/>
          <w:sz w:val="24"/>
          <w:szCs w:val="24"/>
          <w:lang w:val="pt-PT"/>
        </w:rPr>
        <w:t xml:space="preserve"> o</w:t>
      </w:r>
      <w:r>
        <w:rPr>
          <w:rFonts w:ascii="Times New Roman" w:hAnsi="Times New Roman" w:cs="Times New Roman"/>
          <w:sz w:val="24"/>
          <w:szCs w:val="24"/>
          <w:lang w:val="pt-PT"/>
        </w:rPr>
        <w:t xml:space="preserve"> </w:t>
      </w:r>
      <w:r w:rsidR="00B0125C">
        <w:rPr>
          <w:rFonts w:ascii="Times New Roman" w:hAnsi="Times New Roman" w:cs="Times New Roman"/>
          <w:sz w:val="24"/>
          <w:szCs w:val="24"/>
          <w:lang w:val="pt-PT"/>
        </w:rPr>
        <w:t>Instituto Agronômico de Campinas (</w:t>
      </w:r>
      <w:r>
        <w:rPr>
          <w:rFonts w:ascii="Times New Roman" w:hAnsi="Times New Roman" w:cs="Times New Roman"/>
          <w:sz w:val="24"/>
          <w:szCs w:val="24"/>
          <w:lang w:val="pt-PT"/>
        </w:rPr>
        <w:t>IAC</w:t>
      </w:r>
      <w:r w:rsidR="00B0125C">
        <w:rPr>
          <w:rFonts w:ascii="Times New Roman" w:hAnsi="Times New Roman" w:cs="Times New Roman"/>
          <w:sz w:val="24"/>
          <w:szCs w:val="24"/>
          <w:lang w:val="pt-PT"/>
        </w:rPr>
        <w:t>)</w:t>
      </w:r>
      <w:r>
        <w:rPr>
          <w:rFonts w:ascii="Times New Roman" w:hAnsi="Times New Roman" w:cs="Times New Roman"/>
          <w:sz w:val="24"/>
          <w:szCs w:val="24"/>
          <w:lang w:val="pt-PT"/>
        </w:rPr>
        <w:t xml:space="preserve">. Nos três níveis, o autor identificou influência das mudanças institucionais sobre as capacidades tecnológicas de inovação. </w:t>
      </w:r>
    </w:p>
    <w:p w:rsidR="00622A43" w:rsidRDefault="00622A43" w:rsidP="00622A43">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Dunham et al. (2010), por sua vez, discutem a mudança tecnológica em coevolução com a mudança institucional no sistema de inovação em que se insere a indústria sucroalcooleira, apresentando um estudo de caso que decorre da crise provocada por um vírus que atacou plantações de cana-de-açúcar durante o início do século passado. A partir de uma </w:t>
      </w:r>
      <w:r>
        <w:rPr>
          <w:rFonts w:ascii="Times New Roman" w:hAnsi="Times New Roman" w:cs="Times New Roman"/>
          <w:sz w:val="24"/>
          <w:szCs w:val="24"/>
          <w:lang w:val="pt-PT"/>
        </w:rPr>
        <w:lastRenderedPageBreak/>
        <w:t>extensa pesquisa de documentos históricos, os autores comparam o desenvolvimento da produção de cana-de-açúcar no Estado de São Paulo e na região norte fluminense, duas áreas produtivas de grande importância na época, concluindo que, na primeira, soluções tecnológicas efetivas para o problema mencionado foram possíveis devido a importantes mudanças institucionais.</w:t>
      </w:r>
    </w:p>
    <w:p w:rsidR="002E6034" w:rsidRPr="00EF3AE2" w:rsidRDefault="002E6034" w:rsidP="00622A43">
      <w:pPr>
        <w:spacing w:line="360" w:lineRule="auto"/>
        <w:ind w:firstLine="708"/>
        <w:rPr>
          <w:rFonts w:ascii="Times New Roman" w:hAnsi="Times New Roman" w:cs="Times New Roman"/>
          <w:sz w:val="24"/>
          <w:szCs w:val="24"/>
        </w:rPr>
      </w:pPr>
      <w:r>
        <w:rPr>
          <w:rFonts w:ascii="Times New Roman" w:hAnsi="Times New Roman" w:cs="Times New Roman"/>
          <w:sz w:val="24"/>
          <w:szCs w:val="24"/>
        </w:rPr>
        <w:t>Certamente, diversos outros autores fizeram importantes contribuições acerca do papel das instituições para o desenvolvimento tecnológico. Os argumentos aqui apresentados podem e devem ser bastante aprofundados, porém ultrapassam o escopo deste trabalho. A menção a alguns del</w:t>
      </w:r>
      <w:r w:rsidR="00FA6AF6">
        <w:rPr>
          <w:rFonts w:ascii="Times New Roman" w:hAnsi="Times New Roman" w:cs="Times New Roman"/>
          <w:sz w:val="24"/>
          <w:szCs w:val="24"/>
        </w:rPr>
        <w:t>es, mesmo que brevemente, serve</w:t>
      </w:r>
      <w:r>
        <w:rPr>
          <w:rFonts w:ascii="Times New Roman" w:hAnsi="Times New Roman" w:cs="Times New Roman"/>
          <w:sz w:val="24"/>
          <w:szCs w:val="24"/>
        </w:rPr>
        <w:t xml:space="preserve"> para nos auxiliar na identificação de elementos importantes e compreensão da transformação recentemente observada na indústria de biocombustíveis, ou de forma mais generalizada, nas indústrias que utilizam (ou poderão utilizar) a biomassa como matéria-prima.</w:t>
      </w:r>
    </w:p>
    <w:p w:rsidR="00AB3955" w:rsidRPr="002E6034" w:rsidRDefault="00AB3955" w:rsidP="005356FB">
      <w:pPr>
        <w:spacing w:line="360" w:lineRule="auto"/>
        <w:rPr>
          <w:rFonts w:ascii="Times New Roman" w:hAnsi="Times New Roman" w:cs="Times New Roman"/>
          <w:sz w:val="24"/>
          <w:szCs w:val="24"/>
        </w:rPr>
      </w:pPr>
    </w:p>
    <w:p w:rsidR="006147CF" w:rsidRPr="002A5505" w:rsidRDefault="005A06C7" w:rsidP="00D367B9">
      <w:pPr>
        <w:pStyle w:val="Ttulo2"/>
        <w:rPr>
          <w:lang w:val="pt-PT"/>
        </w:rPr>
      </w:pPr>
      <w:bookmarkStart w:id="7" w:name="_Toc333911337"/>
      <w:r>
        <w:rPr>
          <w:lang w:val="pt-PT"/>
        </w:rPr>
        <w:t xml:space="preserve">1.6 </w:t>
      </w:r>
      <w:r w:rsidR="006147CF" w:rsidRPr="002A5505">
        <w:rPr>
          <w:lang w:val="pt-PT"/>
        </w:rPr>
        <w:t>A</w:t>
      </w:r>
      <w:r w:rsidR="003A372B">
        <w:rPr>
          <w:lang w:val="pt-PT"/>
        </w:rPr>
        <w:t xml:space="preserve"> a</w:t>
      </w:r>
      <w:r w:rsidR="006147CF" w:rsidRPr="002A5505">
        <w:rPr>
          <w:lang w:val="pt-PT"/>
        </w:rPr>
        <w:t>daptação regulatória como capacitação</w:t>
      </w:r>
      <w:bookmarkEnd w:id="7"/>
    </w:p>
    <w:p w:rsidR="006147CF" w:rsidRDefault="006147CF" w:rsidP="006147CF">
      <w:pPr>
        <w:spacing w:line="360" w:lineRule="auto"/>
        <w:rPr>
          <w:rFonts w:ascii="Times New Roman" w:hAnsi="Times New Roman" w:cs="Times New Roman"/>
          <w:sz w:val="24"/>
          <w:szCs w:val="24"/>
          <w:lang w:val="pt-PT"/>
        </w:rPr>
      </w:pPr>
    </w:p>
    <w:p w:rsidR="006147CF" w:rsidRPr="00C12D48" w:rsidRDefault="00BD62A3" w:rsidP="006147CF">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À luz das referê</w:t>
      </w:r>
      <w:r w:rsidR="0033387B">
        <w:rPr>
          <w:rFonts w:ascii="Times New Roman" w:hAnsi="Times New Roman" w:cs="Times New Roman"/>
          <w:sz w:val="24"/>
          <w:szCs w:val="24"/>
          <w:lang w:val="pt-PT"/>
        </w:rPr>
        <w:t>ncias teóricas apresentadas, a análise</w:t>
      </w:r>
      <w:r>
        <w:rPr>
          <w:rFonts w:ascii="Times New Roman" w:hAnsi="Times New Roman" w:cs="Times New Roman"/>
          <w:sz w:val="24"/>
          <w:szCs w:val="24"/>
          <w:lang w:val="pt-PT"/>
        </w:rPr>
        <w:t xml:space="preserve"> agora </w:t>
      </w:r>
      <w:r w:rsidR="0033387B">
        <w:rPr>
          <w:rFonts w:ascii="Times New Roman" w:hAnsi="Times New Roman" w:cs="Times New Roman"/>
          <w:sz w:val="24"/>
          <w:szCs w:val="24"/>
          <w:lang w:val="pt-PT"/>
        </w:rPr>
        <w:t>se volta</w:t>
      </w:r>
      <w:r>
        <w:rPr>
          <w:rFonts w:ascii="Times New Roman" w:hAnsi="Times New Roman" w:cs="Times New Roman"/>
          <w:sz w:val="24"/>
          <w:szCs w:val="24"/>
          <w:lang w:val="pt-PT"/>
        </w:rPr>
        <w:t xml:space="preserve"> para o principal elemento de interesse neste trabalho: a regulação. </w:t>
      </w:r>
      <w:r w:rsidR="006147CF">
        <w:rPr>
          <w:rFonts w:ascii="Times New Roman" w:hAnsi="Times New Roman" w:cs="Times New Roman"/>
          <w:sz w:val="24"/>
          <w:szCs w:val="24"/>
          <w:lang w:val="pt-PT"/>
        </w:rPr>
        <w:t>A regulação econômica, como uma das formas de intervenção governamental no sistema econômico, pode ser analisada sob diferentes abordagens, diferentes áreas científicas. Acerca d</w:t>
      </w:r>
      <w:r w:rsidR="006147CF" w:rsidRPr="00C12D48">
        <w:rPr>
          <w:rFonts w:ascii="Times New Roman" w:hAnsi="Times New Roman" w:cs="Times New Roman"/>
          <w:sz w:val="24"/>
          <w:szCs w:val="24"/>
          <w:lang w:val="pt-PT"/>
        </w:rPr>
        <w:t>as teorias de regulação econômica, Pinto Junior (2002) considera a importância das diversas disciplinas como Direito, Economia, Ciência Política, Ciências Sociais e História, porém, em vez de se apoia</w:t>
      </w:r>
      <w:r w:rsidR="00C278B0">
        <w:rPr>
          <w:rFonts w:ascii="Times New Roman" w:hAnsi="Times New Roman" w:cs="Times New Roman"/>
          <w:sz w:val="24"/>
          <w:szCs w:val="24"/>
          <w:lang w:val="pt-PT"/>
        </w:rPr>
        <w:t>r em</w:t>
      </w:r>
      <w:r w:rsidR="006147CF" w:rsidRPr="00C12D48">
        <w:rPr>
          <w:rFonts w:ascii="Times New Roman" w:hAnsi="Times New Roman" w:cs="Times New Roman"/>
          <w:sz w:val="24"/>
          <w:szCs w:val="24"/>
          <w:lang w:val="pt-PT"/>
        </w:rPr>
        <w:t xml:space="preserve"> uma abordagem com foco específico em uma das disciplinas, opta por enfatizar aspectos relevantes da atividade regulatória com base em três tipos de relação:</w:t>
      </w:r>
    </w:p>
    <w:p w:rsidR="006147CF" w:rsidRPr="00C12D48" w:rsidRDefault="006147CF" w:rsidP="006147CF">
      <w:pPr>
        <w:spacing w:line="360" w:lineRule="auto"/>
        <w:ind w:firstLine="708"/>
        <w:rPr>
          <w:rFonts w:ascii="Times New Roman" w:hAnsi="Times New Roman" w:cs="Times New Roman"/>
          <w:sz w:val="24"/>
          <w:szCs w:val="24"/>
          <w:lang w:val="pt-PT"/>
        </w:rPr>
      </w:pPr>
      <w:r w:rsidRPr="00C12D48">
        <w:rPr>
          <w:rFonts w:ascii="Times New Roman" w:hAnsi="Times New Roman" w:cs="Times New Roman"/>
          <w:sz w:val="24"/>
          <w:szCs w:val="24"/>
          <w:lang w:val="pt-PT"/>
        </w:rPr>
        <w:t>i) relação regulador – outras instituições governamentais, que define o desenho institucional a ser adotado;</w:t>
      </w:r>
    </w:p>
    <w:p w:rsidR="006147CF" w:rsidRPr="00C12D48" w:rsidRDefault="006147CF" w:rsidP="006147CF">
      <w:pPr>
        <w:spacing w:line="360" w:lineRule="auto"/>
        <w:ind w:firstLine="708"/>
        <w:rPr>
          <w:rFonts w:ascii="Times New Roman" w:hAnsi="Times New Roman" w:cs="Times New Roman"/>
          <w:sz w:val="24"/>
          <w:szCs w:val="24"/>
          <w:lang w:val="pt-PT"/>
        </w:rPr>
      </w:pPr>
      <w:r w:rsidRPr="00C12D48">
        <w:rPr>
          <w:rFonts w:ascii="Times New Roman" w:hAnsi="Times New Roman" w:cs="Times New Roman"/>
          <w:sz w:val="24"/>
          <w:szCs w:val="24"/>
          <w:lang w:val="pt-PT"/>
        </w:rPr>
        <w:t>ii) relação regulador – firma regulada, baseadas na aplicação dos instrumentos regulatórios;</w:t>
      </w:r>
    </w:p>
    <w:p w:rsidR="006147CF" w:rsidRPr="00C12D48" w:rsidRDefault="006147CF" w:rsidP="006147CF">
      <w:pPr>
        <w:spacing w:line="360" w:lineRule="auto"/>
        <w:ind w:firstLine="708"/>
        <w:rPr>
          <w:rFonts w:ascii="Times New Roman" w:hAnsi="Times New Roman" w:cs="Times New Roman"/>
          <w:sz w:val="24"/>
          <w:szCs w:val="24"/>
          <w:lang w:val="pt-PT"/>
        </w:rPr>
      </w:pPr>
      <w:r w:rsidRPr="00C12D48">
        <w:rPr>
          <w:rFonts w:ascii="Times New Roman" w:hAnsi="Times New Roman" w:cs="Times New Roman"/>
          <w:sz w:val="24"/>
          <w:szCs w:val="24"/>
          <w:lang w:val="pt-PT"/>
        </w:rPr>
        <w:t xml:space="preserve">iii) relação regulação – evolução das estruturas de mercado, que permite ao regulador atingir o objetivo de introdução de pressões competitivas. </w:t>
      </w:r>
    </w:p>
    <w:p w:rsidR="002E6034" w:rsidRDefault="00DB6FEB" w:rsidP="002E6034">
      <w:pPr>
        <w:spacing w:line="360" w:lineRule="auto"/>
        <w:ind w:firstLine="708"/>
        <w:rPr>
          <w:rFonts w:ascii="Times New Roman" w:hAnsi="Times New Roman" w:cs="Times New Roman"/>
          <w:sz w:val="24"/>
          <w:szCs w:val="24"/>
        </w:rPr>
      </w:pPr>
      <w:r>
        <w:rPr>
          <w:rFonts w:ascii="Times New Roman" w:hAnsi="Times New Roman" w:cs="Times New Roman"/>
          <w:sz w:val="24"/>
          <w:szCs w:val="24"/>
          <w:lang w:val="pt-PT"/>
        </w:rPr>
        <w:t>O que</w:t>
      </w:r>
      <w:r w:rsidR="006147CF" w:rsidRPr="00C12D48">
        <w:rPr>
          <w:rFonts w:ascii="Times New Roman" w:hAnsi="Times New Roman" w:cs="Times New Roman"/>
          <w:sz w:val="24"/>
          <w:szCs w:val="24"/>
          <w:lang w:val="pt-PT"/>
        </w:rPr>
        <w:t xml:space="preserve"> se</w:t>
      </w:r>
      <w:r w:rsidR="006147CF">
        <w:rPr>
          <w:rFonts w:ascii="Times New Roman" w:hAnsi="Times New Roman" w:cs="Times New Roman"/>
          <w:sz w:val="24"/>
          <w:szCs w:val="24"/>
          <w:lang w:val="pt-PT"/>
        </w:rPr>
        <w:t xml:space="preserve"> pr</w:t>
      </w:r>
      <w:r w:rsidR="001F6E97">
        <w:rPr>
          <w:rFonts w:ascii="Times New Roman" w:hAnsi="Times New Roman" w:cs="Times New Roman"/>
          <w:sz w:val="24"/>
          <w:szCs w:val="24"/>
          <w:lang w:val="pt-PT"/>
        </w:rPr>
        <w:t>ocura analisar aqui</w:t>
      </w:r>
      <w:r>
        <w:rPr>
          <w:rFonts w:ascii="Times New Roman" w:hAnsi="Times New Roman" w:cs="Times New Roman"/>
          <w:sz w:val="24"/>
          <w:szCs w:val="24"/>
          <w:lang w:val="pt-PT"/>
        </w:rPr>
        <w:t xml:space="preserve"> encontra correspondência nessa abordagem</w:t>
      </w:r>
      <w:r w:rsidR="006147CF">
        <w:rPr>
          <w:rFonts w:ascii="Times New Roman" w:hAnsi="Times New Roman" w:cs="Times New Roman"/>
          <w:sz w:val="24"/>
          <w:szCs w:val="24"/>
          <w:lang w:val="pt-PT"/>
        </w:rPr>
        <w:t>, destacando-se apenas</w:t>
      </w:r>
      <w:r w:rsidR="006147CF" w:rsidRPr="00C12D48">
        <w:rPr>
          <w:rFonts w:ascii="Times New Roman" w:hAnsi="Times New Roman" w:cs="Times New Roman"/>
          <w:sz w:val="24"/>
          <w:szCs w:val="24"/>
          <w:lang w:val="pt-PT"/>
        </w:rPr>
        <w:t xml:space="preserve"> que o terceiro tipo de relação, entre a regulação e a estrutura de mercado, está mais voltado à</w:t>
      </w:r>
      <w:r w:rsidR="006147CF">
        <w:rPr>
          <w:rFonts w:ascii="Times New Roman" w:hAnsi="Times New Roman" w:cs="Times New Roman"/>
          <w:sz w:val="24"/>
          <w:szCs w:val="24"/>
          <w:lang w:val="pt-PT"/>
        </w:rPr>
        <w:t>s</w:t>
      </w:r>
      <w:r w:rsidR="006147CF" w:rsidRPr="00C12D48">
        <w:rPr>
          <w:rFonts w:ascii="Times New Roman" w:hAnsi="Times New Roman" w:cs="Times New Roman"/>
          <w:sz w:val="24"/>
          <w:szCs w:val="24"/>
          <w:lang w:val="pt-PT"/>
        </w:rPr>
        <w:t xml:space="preserve"> mudanças decorrentes do desenvolvimento tecnológico e introdução de inovações no mercado do que à defesa da concorrência.</w:t>
      </w:r>
      <w:r w:rsidR="005A06C7">
        <w:rPr>
          <w:rFonts w:ascii="Times New Roman" w:hAnsi="Times New Roman" w:cs="Times New Roman"/>
          <w:sz w:val="24"/>
          <w:szCs w:val="24"/>
          <w:lang w:val="pt-PT"/>
        </w:rPr>
        <w:t xml:space="preserve"> </w:t>
      </w:r>
      <w:r w:rsidR="005A06C7">
        <w:rPr>
          <w:rFonts w:ascii="Times New Roman" w:hAnsi="Times New Roman" w:cs="Times New Roman"/>
          <w:sz w:val="24"/>
          <w:szCs w:val="24"/>
        </w:rPr>
        <w:t>Nossa intenção</w:t>
      </w:r>
      <w:r w:rsidR="002E6034" w:rsidRPr="00EF3AE2">
        <w:rPr>
          <w:rFonts w:ascii="Times New Roman" w:hAnsi="Times New Roman" w:cs="Times New Roman"/>
          <w:sz w:val="24"/>
          <w:szCs w:val="24"/>
        </w:rPr>
        <w:t xml:space="preserve"> é analisar com mais cuidado a necessidade </w:t>
      </w:r>
      <w:r w:rsidR="002E6034" w:rsidRPr="00942965">
        <w:rPr>
          <w:rFonts w:ascii="Times New Roman" w:hAnsi="Times New Roman" w:cs="Times New Roman"/>
          <w:sz w:val="24"/>
          <w:szCs w:val="24"/>
        </w:rPr>
        <w:t>de adaptação imposta à regulação</w:t>
      </w:r>
      <w:r w:rsidR="002E6034" w:rsidRPr="00EF3AE2">
        <w:rPr>
          <w:rFonts w:ascii="Times New Roman" w:hAnsi="Times New Roman" w:cs="Times New Roman"/>
          <w:sz w:val="24"/>
          <w:szCs w:val="24"/>
        </w:rPr>
        <w:t xml:space="preserve"> </w:t>
      </w:r>
      <w:r w:rsidR="002E6034">
        <w:rPr>
          <w:rFonts w:ascii="Times New Roman" w:hAnsi="Times New Roman" w:cs="Times New Roman"/>
          <w:sz w:val="24"/>
          <w:szCs w:val="24"/>
        </w:rPr>
        <w:t xml:space="preserve">tanto </w:t>
      </w:r>
      <w:r w:rsidR="002E6034" w:rsidRPr="00EF3AE2">
        <w:rPr>
          <w:rFonts w:ascii="Times New Roman" w:hAnsi="Times New Roman" w:cs="Times New Roman"/>
          <w:sz w:val="24"/>
          <w:szCs w:val="24"/>
        </w:rPr>
        <w:t xml:space="preserve">pela </w:t>
      </w:r>
      <w:r w:rsidR="002E6034" w:rsidRPr="00EF3AE2">
        <w:rPr>
          <w:rFonts w:ascii="Times New Roman" w:hAnsi="Times New Roman" w:cs="Times New Roman"/>
          <w:sz w:val="24"/>
          <w:szCs w:val="24"/>
        </w:rPr>
        <w:lastRenderedPageBreak/>
        <w:t>introdução de novos processos e produtos no mercado regulado</w:t>
      </w:r>
      <w:r w:rsidR="002E6034">
        <w:rPr>
          <w:rFonts w:ascii="Times New Roman" w:hAnsi="Times New Roman" w:cs="Times New Roman"/>
          <w:sz w:val="24"/>
          <w:szCs w:val="24"/>
        </w:rPr>
        <w:t xml:space="preserve"> (relação regulador – evolução das estruturas de mercado), como pela adoção de políticas públicas em outras esferas, como a industrial e ambiental (relação regulador – outras instituições governamentais). </w:t>
      </w:r>
    </w:p>
    <w:p w:rsidR="006147CF" w:rsidRPr="002A5505" w:rsidRDefault="005A06C7" w:rsidP="005A06C7">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 ideia de que a regulação muitas vezes impõe obstáculos às atividades de inovação das empresas não é uma novidade. </w:t>
      </w:r>
      <w:r w:rsidR="006147CF" w:rsidRPr="002A5505">
        <w:rPr>
          <w:rFonts w:ascii="Times New Roman" w:hAnsi="Times New Roman" w:cs="Times New Roman"/>
          <w:sz w:val="24"/>
          <w:szCs w:val="24"/>
        </w:rPr>
        <w:t>Seguindo a linha dos autores que investigam de que forma a regulação econômica pode distorcer os incentivos à inovação, Prieger (2007) denomina o período de tempo entre a submissão de um novo produto ao órgão regulador e a concessão de auto</w:t>
      </w:r>
      <w:r w:rsidR="006147CF">
        <w:rPr>
          <w:rFonts w:ascii="Times New Roman" w:hAnsi="Times New Roman" w:cs="Times New Roman"/>
          <w:sz w:val="24"/>
          <w:szCs w:val="24"/>
        </w:rPr>
        <w:t>rização como atraso regulatório:</w:t>
      </w:r>
    </w:p>
    <w:p w:rsidR="006147CF" w:rsidRPr="002A5505" w:rsidRDefault="006147CF" w:rsidP="006147CF">
      <w:pPr>
        <w:spacing w:line="360" w:lineRule="auto"/>
        <w:rPr>
          <w:rFonts w:ascii="Times New Roman" w:hAnsi="Times New Roman" w:cs="Times New Roman"/>
          <w:sz w:val="24"/>
          <w:szCs w:val="24"/>
        </w:rPr>
      </w:pPr>
    </w:p>
    <w:p w:rsidR="006147CF" w:rsidRPr="002A5505" w:rsidRDefault="006147CF" w:rsidP="006147CF">
      <w:pPr>
        <w:ind w:left="2268"/>
        <w:rPr>
          <w:rFonts w:ascii="Times New Roman" w:hAnsi="Times New Roman" w:cs="Times New Roman"/>
          <w:lang w:val="en-US"/>
        </w:rPr>
      </w:pPr>
      <w:r w:rsidRPr="002A5505">
        <w:rPr>
          <w:rFonts w:ascii="Times New Roman" w:hAnsi="Times New Roman" w:cs="Times New Roman"/>
          <w:lang w:val="en-US"/>
        </w:rPr>
        <w:t>Regulatory delay exists when the regulator does not allow the introduction of new products without regulatory review and approval. Regulated firms – for example, in the telecommunications, pharmaceutical, and banking industries often claim that regulatory delays are long, costly, and distort the incentives to introduce new products. Furthermore, uncertainty inherent in the regulatory process may further impact the firms' decisions (PRIEGER, 2006, p. 220)</w:t>
      </w:r>
    </w:p>
    <w:p w:rsidR="006147CF" w:rsidRPr="002A5505" w:rsidRDefault="006147CF" w:rsidP="006147CF">
      <w:pPr>
        <w:spacing w:line="360" w:lineRule="auto"/>
        <w:rPr>
          <w:rFonts w:ascii="Times New Roman" w:hAnsi="Times New Roman" w:cs="Times New Roman"/>
          <w:sz w:val="24"/>
          <w:szCs w:val="24"/>
          <w:lang w:val="en-US"/>
        </w:rPr>
      </w:pPr>
    </w:p>
    <w:p w:rsidR="006147CF" w:rsidRPr="002A5505" w:rsidRDefault="006147CF" w:rsidP="006147CF">
      <w:pPr>
        <w:spacing w:line="360" w:lineRule="auto"/>
        <w:ind w:firstLine="708"/>
        <w:rPr>
          <w:rFonts w:ascii="Times New Roman" w:hAnsi="Times New Roman" w:cs="Times New Roman"/>
          <w:sz w:val="24"/>
          <w:szCs w:val="24"/>
        </w:rPr>
      </w:pPr>
      <w:r w:rsidRPr="002A5505">
        <w:rPr>
          <w:rFonts w:ascii="Times New Roman" w:hAnsi="Times New Roman" w:cs="Times New Roman"/>
          <w:sz w:val="24"/>
          <w:szCs w:val="24"/>
        </w:rPr>
        <w:t>Por meio da aplicação de um modelo empírico, o autor encontra evidências de que o aumento do atraso regulatório está associado a uma quantidade menor de produtos introduzidos no setor de telecomunicações em contextos distintos. O autor lembra também que, em alguns casos, esse atraso pode ser usado pelas firmas incumbentes para aumentar os custos de entrada de novos concorrentes (HAZLETT; FORD, 2001</w:t>
      </w:r>
      <w:r>
        <w:rPr>
          <w:rFonts w:ascii="Times New Roman" w:hAnsi="Times New Roman" w:cs="Times New Roman"/>
          <w:sz w:val="24"/>
          <w:szCs w:val="24"/>
        </w:rPr>
        <w:t xml:space="preserve"> apud PRIEGER, 2006</w:t>
      </w:r>
      <w:r w:rsidRPr="002A5505">
        <w:rPr>
          <w:rFonts w:ascii="Times New Roman" w:hAnsi="Times New Roman" w:cs="Times New Roman"/>
          <w:sz w:val="24"/>
          <w:szCs w:val="24"/>
        </w:rPr>
        <w:t xml:space="preserve">). </w:t>
      </w:r>
    </w:p>
    <w:p w:rsidR="006147CF" w:rsidRDefault="006147CF" w:rsidP="006147CF">
      <w:pPr>
        <w:spacing w:line="360" w:lineRule="auto"/>
        <w:ind w:firstLine="708"/>
        <w:rPr>
          <w:rFonts w:ascii="Times New Roman" w:hAnsi="Times New Roman" w:cs="Times New Roman"/>
          <w:sz w:val="24"/>
          <w:szCs w:val="24"/>
        </w:rPr>
      </w:pPr>
      <w:r w:rsidRPr="002A5505">
        <w:rPr>
          <w:rFonts w:ascii="Times New Roman" w:hAnsi="Times New Roman" w:cs="Times New Roman"/>
          <w:sz w:val="24"/>
          <w:szCs w:val="24"/>
        </w:rPr>
        <w:t>É interessante notar que Prieger</w:t>
      </w:r>
      <w:r>
        <w:rPr>
          <w:rFonts w:ascii="Times New Roman" w:hAnsi="Times New Roman" w:cs="Times New Roman"/>
          <w:sz w:val="24"/>
          <w:szCs w:val="24"/>
        </w:rPr>
        <w:t xml:space="preserve"> (2006)</w:t>
      </w:r>
      <w:r w:rsidRPr="002A5505">
        <w:rPr>
          <w:rFonts w:ascii="Times New Roman" w:hAnsi="Times New Roman" w:cs="Times New Roman"/>
          <w:sz w:val="24"/>
          <w:szCs w:val="24"/>
        </w:rPr>
        <w:t xml:space="preserve"> faz questão de esclarecer que não tem intenção de atribuir um caráter pejorativo ao termo “atraso”, ressaltando que em alguns casos, o atraso pode trazer alguns benefícios para a sociedade. O atraso seria benéfico, por exemplo, caso o regulador optasse por retardar a introdução de um novo produto, aguardando a resolução de problemas de coordenação e padrões técnicos, questões importantes para indústrias de rede. Nesse caso, os consumidores teriam benefícios maiores com produtos de qualidade superior sob um padrão único, mesmo que tivessem que aguardar alguns anos.</w:t>
      </w:r>
      <w:r w:rsidR="00D11C57">
        <w:rPr>
          <w:rFonts w:ascii="Times New Roman" w:hAnsi="Times New Roman" w:cs="Times New Roman"/>
          <w:sz w:val="24"/>
          <w:szCs w:val="24"/>
        </w:rPr>
        <w:t xml:space="preserve"> </w:t>
      </w:r>
    </w:p>
    <w:p w:rsidR="00D11C57" w:rsidRDefault="00C52014" w:rsidP="003B5A9E">
      <w:pPr>
        <w:spacing w:line="360" w:lineRule="auto"/>
        <w:ind w:firstLine="708"/>
        <w:rPr>
          <w:rFonts w:ascii="Times New Roman" w:hAnsi="Times New Roman" w:cs="Times New Roman"/>
          <w:sz w:val="24"/>
          <w:szCs w:val="24"/>
        </w:rPr>
      </w:pPr>
      <w:r>
        <w:rPr>
          <w:rFonts w:ascii="Times New Roman" w:hAnsi="Times New Roman" w:cs="Times New Roman"/>
          <w:sz w:val="24"/>
          <w:szCs w:val="24"/>
        </w:rPr>
        <w:t>Depreende-se</w:t>
      </w:r>
      <w:r w:rsidR="00D11C57">
        <w:rPr>
          <w:rFonts w:ascii="Times New Roman" w:hAnsi="Times New Roman" w:cs="Times New Roman"/>
          <w:sz w:val="24"/>
          <w:szCs w:val="24"/>
        </w:rPr>
        <w:t>, portanto, que a velocidade com que a regulação responde a mudanças decorrentes da introdução de novos produtos e tecnologias pode ter impactos significativos sobre o desempenho das empresas de uma dada indústria, bem como para os consumidores.</w:t>
      </w:r>
      <w:r w:rsidR="003B5A9E">
        <w:rPr>
          <w:rFonts w:ascii="Times New Roman" w:hAnsi="Times New Roman" w:cs="Times New Roman"/>
          <w:sz w:val="24"/>
          <w:szCs w:val="24"/>
        </w:rPr>
        <w:t xml:space="preserve"> </w:t>
      </w:r>
      <w:r w:rsidR="00D11C57">
        <w:rPr>
          <w:rFonts w:ascii="Times New Roman" w:hAnsi="Times New Roman" w:cs="Times New Roman"/>
          <w:sz w:val="24"/>
          <w:szCs w:val="24"/>
        </w:rPr>
        <w:t xml:space="preserve">Entretanto, mudanças relevantes para a atividade da regulação podem emergir também no conjunto de políticas públicas que afetam a produção da indústria regulada. </w:t>
      </w:r>
      <w:r>
        <w:rPr>
          <w:rFonts w:ascii="Times New Roman" w:hAnsi="Times New Roman" w:cs="Times New Roman"/>
          <w:sz w:val="24"/>
          <w:szCs w:val="24"/>
        </w:rPr>
        <w:t>Para a regulação da produção de biocombustíveis, levaram-se</w:t>
      </w:r>
      <w:r w:rsidR="00D11C57">
        <w:rPr>
          <w:rFonts w:ascii="Times New Roman" w:hAnsi="Times New Roman" w:cs="Times New Roman"/>
          <w:sz w:val="24"/>
          <w:szCs w:val="24"/>
        </w:rPr>
        <w:t xml:space="preserve"> em consideração as políticas energética, </w:t>
      </w:r>
      <w:r w:rsidR="00D11C57">
        <w:rPr>
          <w:rFonts w:ascii="Times New Roman" w:hAnsi="Times New Roman" w:cs="Times New Roman"/>
          <w:sz w:val="24"/>
          <w:szCs w:val="24"/>
        </w:rPr>
        <w:lastRenderedPageBreak/>
        <w:t xml:space="preserve">ambiental e </w:t>
      </w:r>
      <w:r w:rsidR="003B5A9E">
        <w:rPr>
          <w:rFonts w:ascii="Times New Roman" w:hAnsi="Times New Roman" w:cs="Times New Roman"/>
          <w:sz w:val="24"/>
          <w:szCs w:val="24"/>
        </w:rPr>
        <w:t>industrial</w:t>
      </w:r>
      <w:r>
        <w:rPr>
          <w:rFonts w:ascii="Times New Roman" w:hAnsi="Times New Roman" w:cs="Times New Roman"/>
          <w:sz w:val="24"/>
          <w:szCs w:val="24"/>
        </w:rPr>
        <w:t>, que serão apresentadas detalhadamente no estudo de caso brasileiro</w:t>
      </w:r>
      <w:r w:rsidR="00A644F0">
        <w:rPr>
          <w:rFonts w:ascii="Times New Roman" w:hAnsi="Times New Roman" w:cs="Times New Roman"/>
          <w:sz w:val="24"/>
          <w:szCs w:val="24"/>
        </w:rPr>
        <w:t>, no Capítulo 3.</w:t>
      </w:r>
      <w:r w:rsidR="008C571D">
        <w:rPr>
          <w:rFonts w:ascii="Times New Roman" w:hAnsi="Times New Roman" w:cs="Times New Roman"/>
          <w:sz w:val="24"/>
          <w:szCs w:val="24"/>
        </w:rPr>
        <w:t xml:space="preserve"> </w:t>
      </w:r>
    </w:p>
    <w:p w:rsidR="00B2712D" w:rsidRDefault="008C571D" w:rsidP="008C571D">
      <w:pPr>
        <w:spacing w:line="360" w:lineRule="auto"/>
        <w:ind w:firstLine="708"/>
        <w:rPr>
          <w:rFonts w:ascii="Times New Roman" w:hAnsi="Times New Roman" w:cs="Times New Roman"/>
          <w:sz w:val="24"/>
          <w:szCs w:val="24"/>
        </w:rPr>
      </w:pPr>
      <w:r>
        <w:rPr>
          <w:rFonts w:ascii="Times New Roman" w:hAnsi="Times New Roman" w:cs="Times New Roman"/>
          <w:sz w:val="24"/>
          <w:szCs w:val="24"/>
        </w:rPr>
        <w:t>Por fim, apresenta-se um quadro que busca ilustrar a justificativa deste trabalho. Tem-se a regulação como parte de um conjunto de políticas públicas que têm impactos sobre um setor ou indústria. A criação de novas políticas, a readequação das políticas existentes às exigências sociais e políticas e a revisão dos objetivos relacionados ao interesse públic</w:t>
      </w:r>
      <w:r w:rsidR="00A72CDC">
        <w:rPr>
          <w:rFonts w:ascii="Times New Roman" w:hAnsi="Times New Roman" w:cs="Times New Roman"/>
          <w:sz w:val="24"/>
          <w:szCs w:val="24"/>
        </w:rPr>
        <w:t>o provocam rupturas ou pelo menos inflexões no modo de gestão</w:t>
      </w:r>
      <w:r w:rsidR="00A30DC6">
        <w:rPr>
          <w:rFonts w:ascii="Times New Roman" w:hAnsi="Times New Roman" w:cs="Times New Roman"/>
          <w:sz w:val="24"/>
          <w:szCs w:val="24"/>
        </w:rPr>
        <w:t>, ou seja, são transformações que impõem a necessidade de adaptação para que a ação governamental se mantenha coordenada.</w:t>
      </w:r>
    </w:p>
    <w:p w:rsidR="008C571D" w:rsidRPr="006147CF" w:rsidRDefault="008C571D" w:rsidP="008C571D">
      <w:pPr>
        <w:spacing w:line="360" w:lineRule="auto"/>
        <w:ind w:firstLine="708"/>
        <w:rPr>
          <w:rFonts w:ascii="Times New Roman" w:hAnsi="Times New Roman" w:cs="Times New Roman"/>
          <w:sz w:val="24"/>
          <w:szCs w:val="24"/>
        </w:rPr>
      </w:pPr>
    </w:p>
    <w:p w:rsidR="00B2712D" w:rsidRDefault="00B2712D" w:rsidP="00B2712D">
      <w:pPr>
        <w:jc w:val="center"/>
        <w:rPr>
          <w:rFonts w:ascii="Times New Roman" w:hAnsi="Times New Roman" w:cs="Times New Roman"/>
          <w:b/>
          <w:sz w:val="24"/>
          <w:szCs w:val="24"/>
          <w:lang w:val="pt-PT"/>
        </w:rPr>
      </w:pPr>
      <w:r w:rsidRPr="007562DB">
        <w:rPr>
          <w:rFonts w:ascii="Times New Roman" w:hAnsi="Times New Roman" w:cs="Times New Roman"/>
          <w:b/>
          <w:sz w:val="24"/>
          <w:szCs w:val="24"/>
          <w:lang w:val="pt-PT"/>
        </w:rPr>
        <w:t xml:space="preserve">Figura </w:t>
      </w:r>
      <w:r w:rsidR="008C571D">
        <w:rPr>
          <w:rFonts w:ascii="Times New Roman" w:hAnsi="Times New Roman" w:cs="Times New Roman"/>
          <w:b/>
          <w:sz w:val="24"/>
          <w:szCs w:val="24"/>
          <w:lang w:val="pt-PT"/>
        </w:rPr>
        <w:t>2</w:t>
      </w:r>
      <w:r w:rsidRPr="007562DB">
        <w:rPr>
          <w:rFonts w:ascii="Times New Roman" w:hAnsi="Times New Roman" w:cs="Times New Roman"/>
          <w:b/>
          <w:sz w:val="24"/>
          <w:szCs w:val="24"/>
          <w:lang w:val="pt-PT"/>
        </w:rPr>
        <w:t>. Quadro-Síntese: Adaptação Regulatória</w:t>
      </w:r>
    </w:p>
    <w:p w:rsidR="00E5402C" w:rsidRPr="007562DB" w:rsidRDefault="00E5402C" w:rsidP="00B2712D">
      <w:pPr>
        <w:jc w:val="center"/>
        <w:rPr>
          <w:rFonts w:ascii="Times New Roman" w:hAnsi="Times New Roman" w:cs="Times New Roman"/>
          <w:b/>
          <w:sz w:val="24"/>
          <w:szCs w:val="24"/>
          <w:lang w:val="pt-PT"/>
        </w:rPr>
      </w:pPr>
    </w:p>
    <w:p w:rsidR="00B2712D" w:rsidRDefault="00A30DC6" w:rsidP="00B2712D">
      <w:pPr>
        <w:spacing w:line="360" w:lineRule="auto"/>
        <w:jc w:val="center"/>
        <w:rPr>
          <w:rFonts w:ascii="Times New Roman" w:hAnsi="Times New Roman" w:cs="Times New Roman"/>
          <w:sz w:val="24"/>
          <w:szCs w:val="24"/>
          <w:lang w:val="pt-PT"/>
        </w:rPr>
      </w:pPr>
      <w:r>
        <w:rPr>
          <w:rFonts w:ascii="Times New Roman" w:hAnsi="Times New Roman" w:cs="Times New Roman"/>
          <w:noProof/>
          <w:sz w:val="24"/>
          <w:szCs w:val="24"/>
          <w:lang w:eastAsia="pt-BR"/>
        </w:rPr>
        <w:drawing>
          <wp:inline distT="0" distB="0" distL="0" distR="0">
            <wp:extent cx="5334000" cy="2326043"/>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5340386" cy="2328828"/>
                    </a:xfrm>
                    <a:prstGeom prst="rect">
                      <a:avLst/>
                    </a:prstGeom>
                    <a:noFill/>
                  </pic:spPr>
                </pic:pic>
              </a:graphicData>
            </a:graphic>
          </wp:inline>
        </w:drawing>
      </w:r>
    </w:p>
    <w:p w:rsidR="00B2712D" w:rsidRDefault="00B2712D" w:rsidP="005356FB">
      <w:pPr>
        <w:spacing w:line="360" w:lineRule="auto"/>
        <w:rPr>
          <w:rFonts w:ascii="Times New Roman" w:hAnsi="Times New Roman" w:cs="Times New Roman"/>
          <w:sz w:val="24"/>
          <w:szCs w:val="24"/>
          <w:lang w:val="pt-PT"/>
        </w:rPr>
      </w:pPr>
    </w:p>
    <w:p w:rsidR="00A30DC6" w:rsidRDefault="00A30DC6" w:rsidP="00A30DC6">
      <w:pPr>
        <w:spacing w:line="360" w:lineRule="auto"/>
        <w:ind w:firstLine="708"/>
        <w:rPr>
          <w:rFonts w:ascii="Times New Roman" w:hAnsi="Times New Roman" w:cs="Times New Roman"/>
          <w:sz w:val="24"/>
          <w:szCs w:val="24"/>
        </w:rPr>
      </w:pPr>
      <w:r>
        <w:rPr>
          <w:rFonts w:ascii="Times New Roman" w:hAnsi="Times New Roman" w:cs="Times New Roman"/>
          <w:sz w:val="24"/>
          <w:szCs w:val="24"/>
        </w:rPr>
        <w:t>Por outro lado, as atividades de inovação que são desenvolvidas espontaneamente pelas empresas introduzem novos elementos com os quais a regulação não necessariamente está preparada para lidar, podendo ser novas tecnologias, produtos, formas de comercialização e assim por diante. Tais transformações no mercado regulado impõem também novos desafios ao regulador, do qual se requer uma importante capacitação: a adaptação regulatória.</w:t>
      </w:r>
    </w:p>
    <w:p w:rsidR="00240CA5" w:rsidRDefault="00437F46" w:rsidP="00A30DC6">
      <w:pPr>
        <w:spacing w:line="360" w:lineRule="auto"/>
        <w:ind w:firstLine="708"/>
        <w:rPr>
          <w:rFonts w:ascii="Times New Roman" w:hAnsi="Times New Roman" w:cs="Times New Roman"/>
          <w:sz w:val="24"/>
          <w:szCs w:val="24"/>
        </w:rPr>
      </w:pPr>
      <w:r>
        <w:rPr>
          <w:rFonts w:ascii="Times New Roman" w:hAnsi="Times New Roman" w:cs="Times New Roman"/>
          <w:sz w:val="24"/>
          <w:szCs w:val="24"/>
        </w:rPr>
        <w:t>Na área de estratégias organizacionais, o</w:t>
      </w:r>
      <w:r w:rsidR="00A30DC6" w:rsidRPr="00A30DC6">
        <w:rPr>
          <w:rFonts w:ascii="Times New Roman" w:hAnsi="Times New Roman" w:cs="Times New Roman"/>
          <w:sz w:val="24"/>
          <w:szCs w:val="24"/>
        </w:rPr>
        <w:t xml:space="preserve"> conceito de capacitação dinâmica foi </w:t>
      </w:r>
      <w:r>
        <w:rPr>
          <w:rFonts w:ascii="Times New Roman" w:hAnsi="Times New Roman" w:cs="Times New Roman"/>
          <w:sz w:val="24"/>
          <w:szCs w:val="24"/>
        </w:rPr>
        <w:t xml:space="preserve">intensamente discutido </w:t>
      </w:r>
      <w:r w:rsidR="00D367B9">
        <w:rPr>
          <w:rFonts w:ascii="Times New Roman" w:hAnsi="Times New Roman" w:cs="Times New Roman"/>
          <w:sz w:val="24"/>
          <w:szCs w:val="24"/>
        </w:rPr>
        <w:t xml:space="preserve">por </w:t>
      </w:r>
      <w:r w:rsidR="00A30DC6" w:rsidRPr="00A30DC6">
        <w:rPr>
          <w:rFonts w:ascii="Times New Roman" w:hAnsi="Times New Roman" w:cs="Times New Roman"/>
          <w:sz w:val="24"/>
          <w:szCs w:val="24"/>
        </w:rPr>
        <w:t>Teece e P</w:t>
      </w:r>
      <w:r w:rsidR="00A30DC6">
        <w:rPr>
          <w:rFonts w:ascii="Times New Roman" w:hAnsi="Times New Roman" w:cs="Times New Roman"/>
          <w:sz w:val="24"/>
          <w:szCs w:val="24"/>
        </w:rPr>
        <w:t>isano</w:t>
      </w:r>
      <w:r>
        <w:rPr>
          <w:rFonts w:ascii="Times New Roman" w:hAnsi="Times New Roman" w:cs="Times New Roman"/>
          <w:sz w:val="24"/>
          <w:szCs w:val="24"/>
        </w:rPr>
        <w:t xml:space="preserve"> (1994) e posteriormente </w:t>
      </w:r>
      <w:r w:rsidR="00D367B9">
        <w:rPr>
          <w:rFonts w:ascii="Times New Roman" w:hAnsi="Times New Roman" w:cs="Times New Roman"/>
          <w:sz w:val="24"/>
          <w:szCs w:val="24"/>
        </w:rPr>
        <w:t>ganhou importância em trabalhos que discutiam os determinantes das vantagens competitivas, ou seja,</w:t>
      </w:r>
      <w:r>
        <w:rPr>
          <w:rFonts w:ascii="Times New Roman" w:hAnsi="Times New Roman" w:cs="Times New Roman"/>
          <w:sz w:val="24"/>
          <w:szCs w:val="24"/>
        </w:rPr>
        <w:t xml:space="preserve"> com foco nas estratégias de organizações privadas. </w:t>
      </w:r>
      <w:r w:rsidR="008C571D" w:rsidRPr="00437F46">
        <w:rPr>
          <w:rFonts w:ascii="Times New Roman" w:hAnsi="Times New Roman" w:cs="Times New Roman"/>
          <w:sz w:val="24"/>
          <w:szCs w:val="24"/>
        </w:rPr>
        <w:t xml:space="preserve">Teece et al. </w:t>
      </w:r>
      <w:r w:rsidR="008C571D">
        <w:rPr>
          <w:rFonts w:ascii="Times New Roman" w:hAnsi="Times New Roman" w:cs="Times New Roman"/>
          <w:sz w:val="24"/>
          <w:szCs w:val="24"/>
        </w:rPr>
        <w:t>(1997)</w:t>
      </w:r>
      <w:r>
        <w:rPr>
          <w:rFonts w:ascii="Times New Roman" w:hAnsi="Times New Roman" w:cs="Times New Roman"/>
          <w:sz w:val="24"/>
          <w:szCs w:val="24"/>
        </w:rPr>
        <w:t xml:space="preserve"> definem as capacitações dinâmicas como a habilidade da firma em integrar, construir e reconfigurar competências internas e externas para atuar em ambientes caracterizados po</w:t>
      </w:r>
      <w:r w:rsidR="001F6E97">
        <w:rPr>
          <w:rFonts w:ascii="Times New Roman" w:hAnsi="Times New Roman" w:cs="Times New Roman"/>
          <w:sz w:val="24"/>
          <w:szCs w:val="24"/>
        </w:rPr>
        <w:t xml:space="preserve">r rápidas mudanças. As capacitações </w:t>
      </w:r>
      <w:r w:rsidR="001F6E97">
        <w:rPr>
          <w:rFonts w:ascii="Times New Roman" w:hAnsi="Times New Roman" w:cs="Times New Roman"/>
          <w:sz w:val="24"/>
          <w:szCs w:val="24"/>
        </w:rPr>
        <w:lastRenderedPageBreak/>
        <w:t>dinâmicas</w:t>
      </w:r>
      <w:r>
        <w:rPr>
          <w:rFonts w:ascii="Times New Roman" w:hAnsi="Times New Roman" w:cs="Times New Roman"/>
          <w:sz w:val="24"/>
          <w:szCs w:val="24"/>
        </w:rPr>
        <w:t xml:space="preserve"> refletem a habilidade da organização de alcançar</w:t>
      </w:r>
      <w:r w:rsidR="001F6E97">
        <w:rPr>
          <w:rFonts w:ascii="Times New Roman" w:hAnsi="Times New Roman" w:cs="Times New Roman"/>
          <w:sz w:val="24"/>
          <w:szCs w:val="24"/>
        </w:rPr>
        <w:t xml:space="preserve"> e manter</w:t>
      </w:r>
      <w:r>
        <w:rPr>
          <w:rFonts w:ascii="Times New Roman" w:hAnsi="Times New Roman" w:cs="Times New Roman"/>
          <w:sz w:val="24"/>
          <w:szCs w:val="24"/>
        </w:rPr>
        <w:t xml:space="preserve"> vantagens competitivas d</w:t>
      </w:r>
      <w:r w:rsidR="00F57A83">
        <w:rPr>
          <w:rFonts w:ascii="Times New Roman" w:hAnsi="Times New Roman" w:cs="Times New Roman"/>
          <w:sz w:val="24"/>
          <w:szCs w:val="24"/>
        </w:rPr>
        <w:t xml:space="preserve">e forma inovadora. </w:t>
      </w:r>
    </w:p>
    <w:p w:rsidR="001F6E97" w:rsidRDefault="00A57446" w:rsidP="00A30DC6">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rPr>
        <w:t xml:space="preserve">Este trabalho, de certo modo, inverte o raciocínio destes autores: não são as organizações privadas que </w:t>
      </w:r>
      <w:r w:rsidR="008E1AF9">
        <w:rPr>
          <w:rFonts w:ascii="Times New Roman" w:hAnsi="Times New Roman" w:cs="Times New Roman"/>
          <w:sz w:val="24"/>
          <w:szCs w:val="24"/>
        </w:rPr>
        <w:t>se adaptam às mudanças do ambiente externo e reconfiguram</w:t>
      </w:r>
      <w:r>
        <w:rPr>
          <w:rFonts w:ascii="Times New Roman" w:hAnsi="Times New Roman" w:cs="Times New Roman"/>
          <w:sz w:val="24"/>
          <w:szCs w:val="24"/>
        </w:rPr>
        <w:t xml:space="preserve"> suas competências para alavancar sua competitiv</w:t>
      </w:r>
      <w:r w:rsidR="008E1AF9">
        <w:rPr>
          <w:rFonts w:ascii="Times New Roman" w:hAnsi="Times New Roman" w:cs="Times New Roman"/>
          <w:sz w:val="24"/>
          <w:szCs w:val="24"/>
        </w:rPr>
        <w:t>idade, pelo contrário, elas são o elemento de mudança.</w:t>
      </w:r>
      <w:r>
        <w:rPr>
          <w:rFonts w:ascii="Times New Roman" w:hAnsi="Times New Roman" w:cs="Times New Roman"/>
          <w:sz w:val="24"/>
          <w:szCs w:val="24"/>
        </w:rPr>
        <w:t xml:space="preserve"> </w:t>
      </w:r>
      <w:r w:rsidR="008E1AF9">
        <w:rPr>
          <w:rFonts w:ascii="Times New Roman" w:hAnsi="Times New Roman" w:cs="Times New Roman"/>
          <w:sz w:val="24"/>
          <w:szCs w:val="24"/>
        </w:rPr>
        <w:t>Trazendo o</w:t>
      </w:r>
      <w:r w:rsidR="001F6E97">
        <w:rPr>
          <w:rFonts w:ascii="Times New Roman" w:hAnsi="Times New Roman" w:cs="Times New Roman"/>
          <w:sz w:val="24"/>
          <w:szCs w:val="24"/>
        </w:rPr>
        <w:t xml:space="preserve"> conceito</w:t>
      </w:r>
      <w:r w:rsidR="008E1AF9">
        <w:rPr>
          <w:rFonts w:ascii="Times New Roman" w:hAnsi="Times New Roman" w:cs="Times New Roman"/>
          <w:sz w:val="24"/>
          <w:szCs w:val="24"/>
        </w:rPr>
        <w:t xml:space="preserve"> desenvolvido por Teece et al. (1997)</w:t>
      </w:r>
      <w:r w:rsidR="001F6E97">
        <w:rPr>
          <w:rFonts w:ascii="Times New Roman" w:hAnsi="Times New Roman" w:cs="Times New Roman"/>
          <w:sz w:val="24"/>
          <w:szCs w:val="24"/>
        </w:rPr>
        <w:t xml:space="preserve"> para a esfera de atuação das organizações públicas, pode-se afirmar que a </w:t>
      </w:r>
      <w:r w:rsidR="001F6E97" w:rsidRPr="00704BD1">
        <w:rPr>
          <w:rFonts w:ascii="Times New Roman" w:hAnsi="Times New Roman" w:cs="Times New Roman"/>
          <w:sz w:val="24"/>
          <w:szCs w:val="24"/>
        </w:rPr>
        <w:t>adaptação regulatória</w:t>
      </w:r>
      <w:r w:rsidR="001F6E97">
        <w:rPr>
          <w:rFonts w:ascii="Times New Roman" w:hAnsi="Times New Roman" w:cs="Times New Roman"/>
          <w:sz w:val="24"/>
          <w:szCs w:val="24"/>
        </w:rPr>
        <w:t xml:space="preserve"> é uma importante capacitação quando se considera a complexa rede de políticas públicas </w:t>
      </w:r>
      <w:r w:rsidR="001913E1">
        <w:rPr>
          <w:rFonts w:ascii="Times New Roman" w:hAnsi="Times New Roman" w:cs="Times New Roman"/>
          <w:sz w:val="24"/>
          <w:szCs w:val="24"/>
        </w:rPr>
        <w:t xml:space="preserve">na qual a regulação econômica se insere, </w:t>
      </w:r>
      <w:r w:rsidR="008E1AF9">
        <w:rPr>
          <w:rFonts w:ascii="Times New Roman" w:hAnsi="Times New Roman" w:cs="Times New Roman"/>
          <w:sz w:val="24"/>
          <w:szCs w:val="24"/>
        </w:rPr>
        <w:t>considerando a relevância da regulação</w:t>
      </w:r>
      <w:r w:rsidR="001913E1">
        <w:rPr>
          <w:rFonts w:ascii="Times New Roman" w:hAnsi="Times New Roman" w:cs="Times New Roman"/>
          <w:sz w:val="24"/>
          <w:szCs w:val="24"/>
        </w:rPr>
        <w:t xml:space="preserve"> na estrutura de incentivos que afeta o d</w:t>
      </w:r>
      <w:r w:rsidR="008E1AF9">
        <w:rPr>
          <w:rFonts w:ascii="Times New Roman" w:hAnsi="Times New Roman" w:cs="Times New Roman"/>
          <w:sz w:val="24"/>
          <w:szCs w:val="24"/>
        </w:rPr>
        <w:t>esempenho das empresas</w:t>
      </w:r>
      <w:r w:rsidR="001913E1">
        <w:rPr>
          <w:rFonts w:ascii="Times New Roman" w:hAnsi="Times New Roman" w:cs="Times New Roman"/>
          <w:sz w:val="24"/>
          <w:szCs w:val="24"/>
        </w:rPr>
        <w:t>.</w:t>
      </w:r>
      <w:r w:rsidR="008E1AF9">
        <w:rPr>
          <w:rFonts w:ascii="Times New Roman" w:hAnsi="Times New Roman" w:cs="Times New Roman"/>
          <w:sz w:val="24"/>
          <w:szCs w:val="24"/>
        </w:rPr>
        <w:t xml:space="preserve"> Portanto, é</w:t>
      </w:r>
      <w:r w:rsidR="003B44D1">
        <w:rPr>
          <w:rFonts w:ascii="Times New Roman" w:hAnsi="Times New Roman" w:cs="Times New Roman"/>
          <w:sz w:val="24"/>
          <w:szCs w:val="24"/>
        </w:rPr>
        <w:t xml:space="preserve"> fundamental </w:t>
      </w:r>
      <w:r w:rsidR="008E1AF9">
        <w:rPr>
          <w:rFonts w:ascii="Times New Roman" w:hAnsi="Times New Roman" w:cs="Times New Roman"/>
          <w:sz w:val="24"/>
          <w:szCs w:val="24"/>
        </w:rPr>
        <w:t xml:space="preserve">que o regulador seja capaz de </w:t>
      </w:r>
      <w:r w:rsidR="003B44D1">
        <w:rPr>
          <w:rFonts w:ascii="Times New Roman" w:hAnsi="Times New Roman" w:cs="Times New Roman"/>
          <w:sz w:val="24"/>
          <w:szCs w:val="24"/>
        </w:rPr>
        <w:t>acompanhar as mudanç</w:t>
      </w:r>
      <w:r w:rsidR="00BB45AF">
        <w:rPr>
          <w:rFonts w:ascii="Times New Roman" w:hAnsi="Times New Roman" w:cs="Times New Roman"/>
          <w:sz w:val="24"/>
          <w:szCs w:val="24"/>
        </w:rPr>
        <w:t xml:space="preserve">as que emergem </w:t>
      </w:r>
      <w:r w:rsidR="003B44D1">
        <w:rPr>
          <w:rFonts w:ascii="Times New Roman" w:hAnsi="Times New Roman" w:cs="Times New Roman"/>
          <w:sz w:val="24"/>
          <w:szCs w:val="24"/>
        </w:rPr>
        <w:t>de</w:t>
      </w:r>
      <w:r w:rsidR="00BB45AF">
        <w:rPr>
          <w:rFonts w:ascii="Times New Roman" w:hAnsi="Times New Roman" w:cs="Times New Roman"/>
          <w:sz w:val="24"/>
          <w:szCs w:val="24"/>
        </w:rPr>
        <w:t xml:space="preserve"> novas políticas públicas e d</w:t>
      </w:r>
      <w:r w:rsidR="003B44D1">
        <w:rPr>
          <w:rFonts w:ascii="Times New Roman" w:hAnsi="Times New Roman" w:cs="Times New Roman"/>
          <w:sz w:val="24"/>
          <w:szCs w:val="24"/>
        </w:rPr>
        <w:t xml:space="preserve">a dinâmica tecnológica e industrial do setor regulado. </w:t>
      </w:r>
    </w:p>
    <w:p w:rsidR="005A725C" w:rsidRDefault="005A725C" w:rsidP="00E4099D">
      <w:pPr>
        <w:pStyle w:val="Ttulo1"/>
        <w:spacing w:line="360" w:lineRule="auto"/>
        <w:rPr>
          <w:rFonts w:cs="Times New Roman"/>
          <w:b w:val="0"/>
          <w:szCs w:val="24"/>
        </w:rPr>
      </w:pPr>
    </w:p>
    <w:p w:rsidR="00D367B9" w:rsidRDefault="00D367B9" w:rsidP="00D367B9">
      <w:pPr>
        <w:pStyle w:val="Ttulo2"/>
      </w:pPr>
      <w:bookmarkStart w:id="8" w:name="_Toc333911338"/>
      <w:r>
        <w:t xml:space="preserve">1.7 </w:t>
      </w:r>
      <w:r w:rsidRPr="00D367B9">
        <w:t>Conclusões</w:t>
      </w:r>
      <w:bookmarkEnd w:id="8"/>
    </w:p>
    <w:p w:rsidR="00E4099D" w:rsidRPr="00E4099D" w:rsidRDefault="00E4099D" w:rsidP="00E4099D">
      <w:pPr>
        <w:spacing w:line="360" w:lineRule="auto"/>
        <w:rPr>
          <w:rFonts w:ascii="Times New Roman" w:hAnsi="Times New Roman" w:cs="Times New Roman"/>
          <w:sz w:val="24"/>
          <w:szCs w:val="24"/>
        </w:rPr>
      </w:pPr>
    </w:p>
    <w:p w:rsidR="00516892" w:rsidRDefault="00AF68E6" w:rsidP="00735246">
      <w:pPr>
        <w:spacing w:line="360" w:lineRule="auto"/>
        <w:rPr>
          <w:rFonts w:ascii="Times New Roman" w:hAnsi="Times New Roman" w:cs="Times New Roman"/>
          <w:sz w:val="24"/>
          <w:szCs w:val="24"/>
        </w:rPr>
      </w:pPr>
      <w:r>
        <w:rPr>
          <w:rFonts w:ascii="Times New Roman" w:hAnsi="Times New Roman" w:cs="Times New Roman"/>
          <w:sz w:val="24"/>
          <w:szCs w:val="24"/>
        </w:rPr>
        <w:tab/>
        <w:t>Este capítulo apresentou</w:t>
      </w:r>
      <w:r w:rsidR="00E4099D">
        <w:rPr>
          <w:rFonts w:ascii="Times New Roman" w:hAnsi="Times New Roman" w:cs="Times New Roman"/>
          <w:sz w:val="24"/>
          <w:szCs w:val="24"/>
        </w:rPr>
        <w:t xml:space="preserve"> referências teóricas para fundamentar a discussão sobre o </w:t>
      </w:r>
      <w:r w:rsidR="00735246">
        <w:rPr>
          <w:rFonts w:ascii="Times New Roman" w:hAnsi="Times New Roman" w:cs="Times New Roman"/>
          <w:sz w:val="24"/>
          <w:szCs w:val="24"/>
        </w:rPr>
        <w:t>papel que a regulação econômica, como forma de intervenção estatal nos mercados, tem na promoção do desen</w:t>
      </w:r>
      <w:r w:rsidR="00C278B0">
        <w:rPr>
          <w:rFonts w:ascii="Times New Roman" w:hAnsi="Times New Roman" w:cs="Times New Roman"/>
          <w:sz w:val="24"/>
          <w:szCs w:val="24"/>
        </w:rPr>
        <w:t>volvimento econômico. De acordo com o que foi exposto</w:t>
      </w:r>
      <w:r w:rsidR="00735246">
        <w:rPr>
          <w:rFonts w:ascii="Times New Roman" w:hAnsi="Times New Roman" w:cs="Times New Roman"/>
          <w:sz w:val="24"/>
          <w:szCs w:val="24"/>
        </w:rPr>
        <w:t>, a regulação faz parte de um conjunto de ações governamentais que devem estar coordenadas</w:t>
      </w:r>
      <w:r w:rsidR="00BC3F73">
        <w:rPr>
          <w:rFonts w:ascii="Times New Roman" w:hAnsi="Times New Roman" w:cs="Times New Roman"/>
          <w:sz w:val="24"/>
          <w:szCs w:val="24"/>
        </w:rPr>
        <w:t xml:space="preserve"> para</w:t>
      </w:r>
      <w:r w:rsidR="00735246">
        <w:rPr>
          <w:rFonts w:ascii="Times New Roman" w:hAnsi="Times New Roman" w:cs="Times New Roman"/>
          <w:sz w:val="24"/>
          <w:szCs w:val="24"/>
        </w:rPr>
        <w:t xml:space="preserve"> que os objetivos considerados prioritários sejam atingidos.</w:t>
      </w:r>
      <w:r w:rsidR="00BC3F73">
        <w:rPr>
          <w:rFonts w:ascii="Times New Roman" w:hAnsi="Times New Roman" w:cs="Times New Roman"/>
          <w:sz w:val="24"/>
          <w:szCs w:val="24"/>
        </w:rPr>
        <w:t xml:space="preserve"> </w:t>
      </w:r>
      <w:r>
        <w:rPr>
          <w:rFonts w:ascii="Times New Roman" w:hAnsi="Times New Roman" w:cs="Times New Roman"/>
          <w:sz w:val="24"/>
          <w:szCs w:val="24"/>
        </w:rPr>
        <w:t xml:space="preserve">Além disso, </w:t>
      </w:r>
      <w:r w:rsidR="00957AF6">
        <w:rPr>
          <w:rFonts w:ascii="Times New Roman" w:hAnsi="Times New Roman" w:cs="Times New Roman"/>
          <w:sz w:val="24"/>
          <w:szCs w:val="24"/>
        </w:rPr>
        <w:t xml:space="preserve">é desejável que a regulação contribua para a formação de um ambiente institucional favorável ao investimento privado com a aplicação de regras previsíveis, o que pode </w:t>
      </w:r>
      <w:r w:rsidR="008266B3">
        <w:rPr>
          <w:rFonts w:ascii="Times New Roman" w:hAnsi="Times New Roman" w:cs="Times New Roman"/>
          <w:sz w:val="24"/>
          <w:szCs w:val="24"/>
        </w:rPr>
        <w:t>se transformar em obstáculo quando regras precisarem ser corrigidas ou adaptadas.</w:t>
      </w:r>
    </w:p>
    <w:p w:rsidR="000F4842" w:rsidRDefault="00BC3F73" w:rsidP="000F4842">
      <w:pPr>
        <w:spacing w:line="360" w:lineRule="auto"/>
        <w:ind w:firstLine="708"/>
        <w:rPr>
          <w:rFonts w:ascii="Times New Roman" w:hAnsi="Times New Roman" w:cs="Times New Roman"/>
          <w:sz w:val="24"/>
          <w:szCs w:val="24"/>
        </w:rPr>
      </w:pPr>
      <w:r>
        <w:rPr>
          <w:rFonts w:ascii="Times New Roman" w:hAnsi="Times New Roman" w:cs="Times New Roman"/>
          <w:sz w:val="24"/>
          <w:szCs w:val="24"/>
        </w:rPr>
        <w:t>Ademais, as contribuições teóricas de diversos autores elucidam transformações pelas quais a produção de biocombustíveis vem passando em diversos países</w:t>
      </w:r>
      <w:r w:rsidR="00516892">
        <w:rPr>
          <w:rFonts w:ascii="Times New Roman" w:hAnsi="Times New Roman" w:cs="Times New Roman"/>
          <w:sz w:val="24"/>
          <w:szCs w:val="24"/>
        </w:rPr>
        <w:t>. Esse processo de transição</w:t>
      </w:r>
      <w:r>
        <w:rPr>
          <w:rFonts w:ascii="Times New Roman" w:hAnsi="Times New Roman" w:cs="Times New Roman"/>
          <w:sz w:val="24"/>
          <w:szCs w:val="24"/>
        </w:rPr>
        <w:t xml:space="preserve"> é impactado de forma expressiva tanto pelas políticas de incentivo como pelos esquemas regulatórios aos quais est</w:t>
      </w:r>
      <w:r w:rsidR="00516892">
        <w:rPr>
          <w:rFonts w:ascii="Times New Roman" w:hAnsi="Times New Roman" w:cs="Times New Roman"/>
          <w:sz w:val="24"/>
          <w:szCs w:val="24"/>
        </w:rPr>
        <w:t>ão sujeitos a produção e o consumo de biocombustíveis.</w:t>
      </w:r>
      <w:r w:rsidR="000F4842">
        <w:rPr>
          <w:rFonts w:ascii="Times New Roman" w:hAnsi="Times New Roman" w:cs="Times New Roman"/>
          <w:sz w:val="24"/>
          <w:szCs w:val="24"/>
        </w:rPr>
        <w:t xml:space="preserve"> Partindo do pressuposto que o avanço tecnológico está estreitamente relacionado com o progresso econômico, discutiu-se também o papel das instituições no processo de mudança tecnológica. </w:t>
      </w:r>
    </w:p>
    <w:p w:rsidR="000F4842" w:rsidRDefault="0040055F" w:rsidP="0040055F">
      <w:pPr>
        <w:spacing w:line="360" w:lineRule="auto"/>
        <w:ind w:firstLine="708"/>
        <w:rPr>
          <w:rFonts w:ascii="Times New Roman" w:hAnsi="Times New Roman" w:cs="Times New Roman"/>
          <w:sz w:val="24"/>
          <w:szCs w:val="24"/>
        </w:rPr>
      </w:pPr>
      <w:r>
        <w:rPr>
          <w:rFonts w:ascii="Times New Roman" w:hAnsi="Times New Roman" w:cs="Times New Roman"/>
          <w:sz w:val="24"/>
          <w:szCs w:val="24"/>
        </w:rPr>
        <w:t>D</w:t>
      </w:r>
      <w:r w:rsidR="00301591">
        <w:rPr>
          <w:rFonts w:ascii="Times New Roman" w:hAnsi="Times New Roman" w:cs="Times New Roman"/>
          <w:sz w:val="24"/>
          <w:szCs w:val="24"/>
        </w:rPr>
        <w:t>esenvolveram</w:t>
      </w:r>
      <w:r w:rsidR="000F4842">
        <w:rPr>
          <w:rFonts w:ascii="Times New Roman" w:hAnsi="Times New Roman" w:cs="Times New Roman"/>
          <w:sz w:val="24"/>
          <w:szCs w:val="24"/>
        </w:rPr>
        <w:t xml:space="preserve">-se </w:t>
      </w:r>
      <w:r>
        <w:rPr>
          <w:rFonts w:ascii="Times New Roman" w:hAnsi="Times New Roman" w:cs="Times New Roman"/>
          <w:sz w:val="24"/>
          <w:szCs w:val="24"/>
        </w:rPr>
        <w:t xml:space="preserve">ainda </w:t>
      </w:r>
      <w:r w:rsidR="000F4842">
        <w:rPr>
          <w:rFonts w:ascii="Times New Roman" w:hAnsi="Times New Roman" w:cs="Times New Roman"/>
          <w:sz w:val="24"/>
          <w:szCs w:val="24"/>
        </w:rPr>
        <w:t>a</w:t>
      </w:r>
      <w:r w:rsidR="00301591">
        <w:rPr>
          <w:rFonts w:ascii="Times New Roman" w:hAnsi="Times New Roman" w:cs="Times New Roman"/>
          <w:sz w:val="24"/>
          <w:szCs w:val="24"/>
        </w:rPr>
        <w:t>s</w:t>
      </w:r>
      <w:r w:rsidR="000F4842">
        <w:rPr>
          <w:rFonts w:ascii="Times New Roman" w:hAnsi="Times New Roman" w:cs="Times New Roman"/>
          <w:sz w:val="24"/>
          <w:szCs w:val="24"/>
        </w:rPr>
        <w:t xml:space="preserve"> ideia</w:t>
      </w:r>
      <w:r w:rsidR="00301591">
        <w:rPr>
          <w:rFonts w:ascii="Times New Roman" w:hAnsi="Times New Roman" w:cs="Times New Roman"/>
          <w:sz w:val="24"/>
          <w:szCs w:val="24"/>
        </w:rPr>
        <w:t>s</w:t>
      </w:r>
      <w:r w:rsidR="000F4842">
        <w:rPr>
          <w:rFonts w:ascii="Times New Roman" w:hAnsi="Times New Roman" w:cs="Times New Roman"/>
          <w:sz w:val="24"/>
          <w:szCs w:val="24"/>
        </w:rPr>
        <w:t xml:space="preserve"> de que as tecnologias físicas coevoluem com as instituições e de que em transições de regimes sócio-técnicos, forças políticas e sociais podem ter maior influência do que os mercados na determinação da trajetória tecnológica de uma dada indústria.</w:t>
      </w:r>
      <w:r w:rsidR="006C3E0C">
        <w:rPr>
          <w:rFonts w:ascii="Times New Roman" w:hAnsi="Times New Roman" w:cs="Times New Roman"/>
          <w:sz w:val="24"/>
          <w:szCs w:val="24"/>
        </w:rPr>
        <w:t xml:space="preserve"> </w:t>
      </w:r>
      <w:r>
        <w:rPr>
          <w:rFonts w:ascii="Times New Roman" w:hAnsi="Times New Roman" w:cs="Times New Roman"/>
          <w:sz w:val="24"/>
          <w:szCs w:val="24"/>
        </w:rPr>
        <w:t>E p</w:t>
      </w:r>
      <w:r w:rsidR="000F4842">
        <w:rPr>
          <w:rFonts w:ascii="Times New Roman" w:hAnsi="Times New Roman" w:cs="Times New Roman"/>
          <w:sz w:val="24"/>
          <w:szCs w:val="24"/>
        </w:rPr>
        <w:t xml:space="preserve">or fim, </w:t>
      </w:r>
      <w:r w:rsidR="00B94553">
        <w:rPr>
          <w:rFonts w:ascii="Times New Roman" w:hAnsi="Times New Roman" w:cs="Times New Roman"/>
          <w:sz w:val="24"/>
          <w:szCs w:val="24"/>
        </w:rPr>
        <w:t>justificou-se o tema da dissertação</w:t>
      </w:r>
      <w:r w:rsidR="006C3E0C">
        <w:rPr>
          <w:rFonts w:ascii="Times New Roman" w:hAnsi="Times New Roman" w:cs="Times New Roman"/>
          <w:sz w:val="24"/>
          <w:szCs w:val="24"/>
        </w:rPr>
        <w:t xml:space="preserve">, ressaltando que a adaptação </w:t>
      </w:r>
      <w:r w:rsidR="006C3E0C">
        <w:rPr>
          <w:rFonts w:ascii="Times New Roman" w:hAnsi="Times New Roman" w:cs="Times New Roman"/>
          <w:sz w:val="24"/>
          <w:szCs w:val="24"/>
        </w:rPr>
        <w:lastRenderedPageBreak/>
        <w:t>regulatória é uma importante capacitação pa</w:t>
      </w:r>
      <w:r w:rsidR="00EA7C89">
        <w:rPr>
          <w:rFonts w:ascii="Times New Roman" w:hAnsi="Times New Roman" w:cs="Times New Roman"/>
          <w:sz w:val="24"/>
          <w:szCs w:val="24"/>
        </w:rPr>
        <w:t>ra a regulação de mercados que são fortemente influenciados por políticas públicas e podem ser transformados com a difusão de novas tecnologias.</w:t>
      </w:r>
    </w:p>
    <w:p w:rsidR="00C6573C" w:rsidRDefault="00C6573C">
      <w:pPr>
        <w:rPr>
          <w:rFonts w:ascii="Times New Roman" w:hAnsi="Times New Roman" w:cs="Times New Roman"/>
          <w:sz w:val="24"/>
          <w:szCs w:val="24"/>
        </w:rPr>
      </w:pPr>
      <w:r>
        <w:rPr>
          <w:rFonts w:ascii="Times New Roman" w:hAnsi="Times New Roman" w:cs="Times New Roman"/>
          <w:sz w:val="24"/>
          <w:szCs w:val="24"/>
        </w:rPr>
        <w:br w:type="page"/>
      </w:r>
    </w:p>
    <w:p w:rsidR="00C6573C" w:rsidRPr="00740E2A" w:rsidRDefault="00C6573C" w:rsidP="00740E2A">
      <w:pPr>
        <w:pStyle w:val="Ttulo1"/>
      </w:pPr>
      <w:bookmarkStart w:id="9" w:name="_Toc330506330"/>
      <w:bookmarkStart w:id="10" w:name="_Toc333911339"/>
      <w:r w:rsidRPr="00740E2A">
        <w:lastRenderedPageBreak/>
        <w:t>CAPÍTULO 2: uma indústria em transformação</w:t>
      </w:r>
      <w:bookmarkEnd w:id="9"/>
      <w:bookmarkEnd w:id="10"/>
      <w:r w:rsidRPr="00740E2A">
        <w:t xml:space="preserve"> </w:t>
      </w:r>
    </w:p>
    <w:p w:rsidR="00C6573C" w:rsidRDefault="00C6573C" w:rsidP="00C6573C">
      <w:pPr>
        <w:spacing w:line="360" w:lineRule="auto"/>
        <w:rPr>
          <w:rFonts w:ascii="Times New Roman" w:hAnsi="Times New Roman" w:cs="Times New Roman"/>
          <w:b/>
          <w:sz w:val="24"/>
          <w:szCs w:val="24"/>
        </w:rPr>
      </w:pPr>
    </w:p>
    <w:p w:rsidR="00C6573C" w:rsidRPr="000E6930"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Atualmente, os biocombustíveis atendem cerca de 3%</w:t>
      </w:r>
      <w:r w:rsidRPr="001F0640">
        <w:rPr>
          <w:rFonts w:ascii="Times New Roman" w:hAnsi="Times New Roman" w:cs="Times New Roman"/>
          <w:sz w:val="24"/>
          <w:szCs w:val="24"/>
        </w:rPr>
        <w:t xml:space="preserve"> da demanda mundial de combust</w:t>
      </w:r>
      <w:r>
        <w:rPr>
          <w:rFonts w:ascii="Times New Roman" w:hAnsi="Times New Roman" w:cs="Times New Roman"/>
          <w:sz w:val="24"/>
          <w:szCs w:val="24"/>
        </w:rPr>
        <w:t xml:space="preserve">íveis no setor de transportes. Para atingir a meta de redução de 50% das emissões de GEE no setor de transportes em 2050 (em relação aos níveis de 2005), novas </w:t>
      </w:r>
      <w:r w:rsidRPr="001F0640">
        <w:rPr>
          <w:rFonts w:ascii="Times New Roman" w:hAnsi="Times New Roman" w:cs="Times New Roman"/>
          <w:sz w:val="24"/>
          <w:szCs w:val="24"/>
        </w:rPr>
        <w:t xml:space="preserve">tecnologias </w:t>
      </w:r>
      <w:r>
        <w:rPr>
          <w:rFonts w:ascii="Times New Roman" w:hAnsi="Times New Roman" w:cs="Times New Roman"/>
          <w:sz w:val="24"/>
          <w:szCs w:val="24"/>
        </w:rPr>
        <w:t>deverão ser desenvolvidas e aplicadas visando à melhoria da eficiência energética, compondo um cenário no qual os biocombustíveis responderão por até 27% da matriz de transporte (AIE, 2011b)</w:t>
      </w:r>
      <w:r w:rsidRPr="001F0640">
        <w:rPr>
          <w:rFonts w:ascii="Times New Roman" w:hAnsi="Times New Roman" w:cs="Times New Roman"/>
          <w:sz w:val="24"/>
          <w:szCs w:val="24"/>
        </w:rPr>
        <w:t>.</w:t>
      </w:r>
      <w:r w:rsidRPr="000C6EE3">
        <w:rPr>
          <w:rFonts w:ascii="Times New Roman" w:hAnsi="Times New Roman" w:cs="Times New Roman"/>
          <w:sz w:val="24"/>
          <w:szCs w:val="24"/>
        </w:rPr>
        <w:t xml:space="preserve"> </w:t>
      </w:r>
      <w:r>
        <w:rPr>
          <w:rFonts w:ascii="Times New Roman" w:hAnsi="Times New Roman" w:cs="Times New Roman"/>
          <w:sz w:val="24"/>
          <w:szCs w:val="24"/>
        </w:rPr>
        <w:t>Considerando que novas políticas de redução de emissões de GEE serão adotadas, a</w:t>
      </w:r>
      <w:r w:rsidRPr="000E6930">
        <w:rPr>
          <w:rFonts w:ascii="Times New Roman" w:hAnsi="Times New Roman" w:cs="Times New Roman"/>
          <w:sz w:val="24"/>
          <w:szCs w:val="24"/>
        </w:rPr>
        <w:t xml:space="preserve"> participação </w:t>
      </w:r>
      <w:r>
        <w:rPr>
          <w:rFonts w:ascii="Times New Roman" w:hAnsi="Times New Roman" w:cs="Times New Roman"/>
          <w:sz w:val="24"/>
          <w:szCs w:val="24"/>
        </w:rPr>
        <w:t xml:space="preserve">prevista </w:t>
      </w:r>
      <w:r w:rsidRPr="000E6930">
        <w:rPr>
          <w:rFonts w:ascii="Times New Roman" w:hAnsi="Times New Roman" w:cs="Times New Roman"/>
          <w:sz w:val="24"/>
          <w:szCs w:val="24"/>
        </w:rPr>
        <w:t xml:space="preserve">dos biocombustíveis na oferta total de combustíveis para o setor de transportes em 2035 </w:t>
      </w:r>
      <w:r w:rsidR="00256CD7">
        <w:rPr>
          <w:rFonts w:ascii="Times New Roman" w:hAnsi="Times New Roman" w:cs="Times New Roman"/>
          <w:sz w:val="24"/>
          <w:szCs w:val="24"/>
        </w:rPr>
        <w:t>deverá corresponder a 8%, apesar de limitar-se a algo em torno de 1% no</w:t>
      </w:r>
      <w:r>
        <w:rPr>
          <w:rFonts w:ascii="Times New Roman" w:hAnsi="Times New Roman" w:cs="Times New Roman"/>
          <w:sz w:val="24"/>
          <w:szCs w:val="24"/>
        </w:rPr>
        <w:t xml:space="preserve"> setor de av</w:t>
      </w:r>
      <w:r w:rsidR="00256CD7">
        <w:rPr>
          <w:rFonts w:ascii="Times New Roman" w:hAnsi="Times New Roman" w:cs="Times New Roman"/>
          <w:sz w:val="24"/>
          <w:szCs w:val="24"/>
        </w:rPr>
        <w:t xml:space="preserve">iação </w:t>
      </w:r>
      <w:r>
        <w:rPr>
          <w:rFonts w:ascii="Times New Roman" w:hAnsi="Times New Roman" w:cs="Times New Roman"/>
          <w:sz w:val="24"/>
          <w:szCs w:val="24"/>
        </w:rPr>
        <w:t>(AIE</w:t>
      </w:r>
      <w:r w:rsidRPr="000E6930">
        <w:rPr>
          <w:rFonts w:ascii="Times New Roman" w:hAnsi="Times New Roman" w:cs="Times New Roman"/>
          <w:sz w:val="24"/>
          <w:szCs w:val="24"/>
        </w:rPr>
        <w:t>, 2010).</w:t>
      </w:r>
    </w:p>
    <w:p w:rsidR="00C6573C" w:rsidRPr="000E6930"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A</w:t>
      </w:r>
      <w:r w:rsidRPr="000E6930">
        <w:rPr>
          <w:rFonts w:ascii="Times New Roman" w:hAnsi="Times New Roman" w:cs="Times New Roman"/>
          <w:sz w:val="24"/>
          <w:szCs w:val="24"/>
        </w:rPr>
        <w:t xml:space="preserve">s emissões diretas e indiretas de GEE associadas à produção e ao uso de biocombustíveis diferem muito, dependendo da matéria-prima, </w:t>
      </w:r>
      <w:r>
        <w:rPr>
          <w:rFonts w:ascii="Times New Roman" w:hAnsi="Times New Roman" w:cs="Times New Roman"/>
          <w:sz w:val="24"/>
          <w:szCs w:val="24"/>
        </w:rPr>
        <w:t xml:space="preserve">do </w:t>
      </w:r>
      <w:r w:rsidRPr="000E6930">
        <w:rPr>
          <w:rFonts w:ascii="Times New Roman" w:hAnsi="Times New Roman" w:cs="Times New Roman"/>
          <w:sz w:val="24"/>
          <w:szCs w:val="24"/>
        </w:rPr>
        <w:t>processo de conversão,</w:t>
      </w:r>
      <w:r>
        <w:rPr>
          <w:rFonts w:ascii="Times New Roman" w:hAnsi="Times New Roman" w:cs="Times New Roman"/>
          <w:sz w:val="24"/>
          <w:szCs w:val="24"/>
        </w:rPr>
        <w:t xml:space="preserve"> da</w:t>
      </w:r>
      <w:r w:rsidRPr="000E6930">
        <w:rPr>
          <w:rFonts w:ascii="Times New Roman" w:hAnsi="Times New Roman" w:cs="Times New Roman"/>
          <w:sz w:val="24"/>
          <w:szCs w:val="24"/>
        </w:rPr>
        <w:t xml:space="preserve"> alocação de s</w:t>
      </w:r>
      <w:r>
        <w:rPr>
          <w:rFonts w:ascii="Times New Roman" w:hAnsi="Times New Roman" w:cs="Times New Roman"/>
          <w:sz w:val="24"/>
          <w:szCs w:val="24"/>
        </w:rPr>
        <w:t>ubprodutos, entre outros aspectos</w:t>
      </w:r>
      <w:r w:rsidRPr="000E6930">
        <w:rPr>
          <w:rFonts w:ascii="Times New Roman" w:hAnsi="Times New Roman" w:cs="Times New Roman"/>
          <w:sz w:val="24"/>
          <w:szCs w:val="24"/>
        </w:rPr>
        <w:t>. A redução de emissões relativamente aos substitutos fósseis é crucial, uma vez que as políticas de suporte financeiro estão cada vez mais atreladas ao desempenho ambiental dos biocombustíveis. Considerando-se as limitações da produção de bio</w:t>
      </w:r>
      <w:r>
        <w:rPr>
          <w:rFonts w:ascii="Times New Roman" w:hAnsi="Times New Roman" w:cs="Times New Roman"/>
          <w:sz w:val="24"/>
          <w:szCs w:val="24"/>
        </w:rPr>
        <w:t>combustíveis convencionais</w:t>
      </w:r>
      <w:r>
        <w:rPr>
          <w:rStyle w:val="Refdenotaderodap"/>
          <w:rFonts w:ascii="Times New Roman" w:hAnsi="Times New Roman" w:cs="Times New Roman"/>
          <w:sz w:val="24"/>
          <w:szCs w:val="24"/>
        </w:rPr>
        <w:footnoteReference w:id="8"/>
      </w:r>
      <w:r w:rsidRPr="000E6930">
        <w:rPr>
          <w:rFonts w:ascii="Times New Roman" w:hAnsi="Times New Roman" w:cs="Times New Roman"/>
          <w:sz w:val="24"/>
          <w:szCs w:val="24"/>
        </w:rPr>
        <w:t>, como os efeitos sobre os preços dos alimentos e os impactos diretos e indiretos das mudanças no uso da terra, o desenvolvimento dos bioc</w:t>
      </w:r>
      <w:r>
        <w:rPr>
          <w:rFonts w:ascii="Times New Roman" w:hAnsi="Times New Roman" w:cs="Times New Roman"/>
          <w:sz w:val="24"/>
          <w:szCs w:val="24"/>
        </w:rPr>
        <w:t>ombustíveis avançados surge como parte da solução para equacionar o problema de segurança energética e das emissões de GEE</w:t>
      </w:r>
      <w:r w:rsidRPr="000E6930">
        <w:rPr>
          <w:rFonts w:ascii="Times New Roman" w:hAnsi="Times New Roman" w:cs="Times New Roman"/>
          <w:sz w:val="24"/>
          <w:szCs w:val="24"/>
        </w:rPr>
        <w:t xml:space="preserve">. </w:t>
      </w:r>
    </w:p>
    <w:p w:rsidR="00C6573C" w:rsidRDefault="00C6573C" w:rsidP="00C6573C">
      <w:pPr>
        <w:spacing w:line="360" w:lineRule="auto"/>
        <w:ind w:firstLine="708"/>
        <w:rPr>
          <w:rFonts w:ascii="Times New Roman" w:hAnsi="Times New Roman" w:cs="Times New Roman"/>
          <w:sz w:val="24"/>
          <w:szCs w:val="24"/>
        </w:rPr>
      </w:pPr>
      <w:r w:rsidRPr="00A2707B">
        <w:rPr>
          <w:rFonts w:ascii="Times New Roman" w:hAnsi="Times New Roman" w:cs="Times New Roman"/>
          <w:sz w:val="24"/>
          <w:szCs w:val="24"/>
        </w:rPr>
        <w:t>O objetivo deste capítulo é descrever de que forma tem evoluído a indústria</w:t>
      </w:r>
      <w:r>
        <w:rPr>
          <w:rFonts w:ascii="Times New Roman" w:hAnsi="Times New Roman" w:cs="Times New Roman"/>
          <w:sz w:val="24"/>
          <w:szCs w:val="24"/>
        </w:rPr>
        <w:t xml:space="preserve"> sucroalcooleira e de biodiesel em direção à diversificação de produtos, inclusive de biocombustíveis avançados</w:t>
      </w:r>
      <w:r w:rsidRPr="00A2707B">
        <w:rPr>
          <w:rFonts w:ascii="Times New Roman" w:hAnsi="Times New Roman" w:cs="Times New Roman"/>
          <w:sz w:val="24"/>
          <w:szCs w:val="24"/>
        </w:rPr>
        <w:t xml:space="preserve">. A primeira parte é dedicada à análise da estrutura atual da indústria de </w:t>
      </w:r>
      <w:r>
        <w:rPr>
          <w:rFonts w:ascii="Times New Roman" w:hAnsi="Times New Roman" w:cs="Times New Roman"/>
          <w:sz w:val="24"/>
          <w:szCs w:val="24"/>
        </w:rPr>
        <w:t>etanol de cana-de-açúcar e de biodiesel, destacando características tecnológicas, estruturas de custos e fatores de mercado. Em seguida, são levantados os principais obstáculos enfrentados pelos biocombustíveis convencionais e as políticas públicas que afetam sua produção.</w:t>
      </w: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Na última parte, apresentam-se iniciativas de inovação que buscam introduzir alternativas de matérias-primas, processos, produtos e formas de organização industrial a esse setor, e assim contornar os problemas enfrentados pela indústria de hoje. Destacam-se os elementos que têm exercido influência sobre a dinâmica industrial e de inovação, bem como as características da nova bioindústria que está em formação.</w:t>
      </w:r>
    </w:p>
    <w:p w:rsidR="00C6573C" w:rsidRDefault="00C6573C" w:rsidP="00C6573C">
      <w:pPr>
        <w:spacing w:line="360" w:lineRule="auto"/>
        <w:rPr>
          <w:rFonts w:ascii="Times New Roman" w:hAnsi="Times New Roman" w:cs="Times New Roman"/>
          <w:sz w:val="24"/>
          <w:szCs w:val="24"/>
        </w:rPr>
      </w:pPr>
    </w:p>
    <w:p w:rsidR="00C6573C" w:rsidRPr="00740E2A" w:rsidRDefault="00C6573C" w:rsidP="00740E2A">
      <w:pPr>
        <w:pStyle w:val="Ttulo2"/>
      </w:pPr>
      <w:bookmarkStart w:id="11" w:name="_Toc330506332"/>
      <w:bookmarkStart w:id="12" w:name="_Toc333911340"/>
      <w:r w:rsidRPr="00740E2A">
        <w:lastRenderedPageBreak/>
        <w:t xml:space="preserve">2.1 </w:t>
      </w:r>
      <w:bookmarkEnd w:id="11"/>
      <w:r w:rsidRPr="00740E2A">
        <w:t>Estrutura atual da indústria de biocombustíveis</w:t>
      </w:r>
      <w:bookmarkEnd w:id="12"/>
    </w:p>
    <w:p w:rsidR="00C6573C" w:rsidRDefault="00C6573C" w:rsidP="00C6573C">
      <w:pPr>
        <w:spacing w:line="360" w:lineRule="auto"/>
        <w:rPr>
          <w:rFonts w:ascii="Times New Roman" w:hAnsi="Times New Roman" w:cs="Times New Roman"/>
          <w:sz w:val="24"/>
          <w:szCs w:val="24"/>
        </w:rPr>
      </w:pP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Quando </w:t>
      </w:r>
      <w:r w:rsidR="005C51BF">
        <w:rPr>
          <w:rFonts w:ascii="Times New Roman" w:hAnsi="Times New Roman" w:cs="Times New Roman"/>
          <w:sz w:val="24"/>
          <w:szCs w:val="24"/>
        </w:rPr>
        <w:t>se trata</w:t>
      </w:r>
      <w:r w:rsidRPr="00EF70D6">
        <w:rPr>
          <w:rFonts w:ascii="Times New Roman" w:hAnsi="Times New Roman" w:cs="Times New Roman"/>
          <w:sz w:val="24"/>
          <w:szCs w:val="24"/>
        </w:rPr>
        <w:t xml:space="preserve"> de biocombustíveis</w:t>
      </w:r>
      <w:r>
        <w:rPr>
          <w:rFonts w:ascii="Times New Roman" w:hAnsi="Times New Roman" w:cs="Times New Roman"/>
          <w:sz w:val="24"/>
          <w:szCs w:val="24"/>
        </w:rPr>
        <w:t>, grosso modo,</w:t>
      </w:r>
      <w:r w:rsidRPr="00EF70D6">
        <w:rPr>
          <w:rFonts w:ascii="Times New Roman" w:hAnsi="Times New Roman" w:cs="Times New Roman"/>
          <w:sz w:val="24"/>
          <w:szCs w:val="24"/>
        </w:rPr>
        <w:t xml:space="preserve"> estamos basicamente nos referindo ao etanol produzido a partir de açúcares e amido e ao biodiesel</w:t>
      </w:r>
      <w:r>
        <w:rPr>
          <w:rFonts w:ascii="Times New Roman" w:hAnsi="Times New Roman" w:cs="Times New Roman"/>
          <w:sz w:val="24"/>
          <w:szCs w:val="24"/>
        </w:rPr>
        <w:t xml:space="preserve"> produzido com óleos vegetais e</w:t>
      </w:r>
      <w:r w:rsidRPr="00EF70D6">
        <w:rPr>
          <w:rFonts w:ascii="Times New Roman" w:hAnsi="Times New Roman" w:cs="Times New Roman"/>
          <w:sz w:val="24"/>
          <w:szCs w:val="24"/>
        </w:rPr>
        <w:t xml:space="preserve"> gordura animal. </w:t>
      </w:r>
      <w:r>
        <w:rPr>
          <w:rFonts w:ascii="Times New Roman" w:hAnsi="Times New Roman" w:cs="Times New Roman"/>
          <w:sz w:val="24"/>
          <w:szCs w:val="24"/>
        </w:rPr>
        <w:t xml:space="preserve">A tabela abaixo compara algumas características das rotas utilizadas em escala comercial atualmente para a produção de biocombustíveis convencionais. </w:t>
      </w:r>
    </w:p>
    <w:p w:rsidR="00C6573C" w:rsidRPr="0080064B"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É possível constatar que o etanol de cana-de-açúcar é o biocombustível que apresenta mais vantagens em termos de redução de emissões e produção por hectare, porém requer a utilização de terras férteis.</w:t>
      </w:r>
      <w:r w:rsidRPr="005D762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Da cana-de-açúcar, extraem-se diretamente os açúcares que podem ser fermentados logo a seguir, o que envolve uma etapa a menos no processo em relação aos grãos e cereais, dos quais é necessário converter o amido para açúcares (BNDES; CGEE, 2008). Por outro lado, o conteúdo energético do etanol equivale à cerca de 70% do conteúdo da gasolina.</w:t>
      </w:r>
    </w:p>
    <w:p w:rsidR="00C6573C" w:rsidRDefault="00C6573C" w:rsidP="00C6573C">
      <w:pPr>
        <w:spacing w:line="360" w:lineRule="auto"/>
        <w:jc w:val="center"/>
        <w:rPr>
          <w:rFonts w:ascii="Times New Roman" w:hAnsi="Times New Roman" w:cs="Times New Roman"/>
          <w:b/>
          <w:sz w:val="24"/>
          <w:szCs w:val="24"/>
        </w:rPr>
      </w:pPr>
    </w:p>
    <w:p w:rsidR="00C6573C" w:rsidRPr="00A2707B" w:rsidRDefault="00C6573C" w:rsidP="00C6573C">
      <w:pPr>
        <w:spacing w:line="360" w:lineRule="auto"/>
        <w:jc w:val="center"/>
        <w:outlineLvl w:val="0"/>
        <w:rPr>
          <w:rFonts w:ascii="Times New Roman" w:hAnsi="Times New Roman" w:cs="Times New Roman"/>
          <w:sz w:val="24"/>
          <w:szCs w:val="24"/>
        </w:rPr>
      </w:pPr>
      <w:bookmarkStart w:id="13" w:name="_Toc330505753"/>
      <w:bookmarkStart w:id="14" w:name="_Toc330506333"/>
      <w:bookmarkStart w:id="15" w:name="_Toc331848308"/>
      <w:bookmarkStart w:id="16" w:name="_Toc331848516"/>
      <w:bookmarkStart w:id="17" w:name="_Toc332018590"/>
      <w:bookmarkStart w:id="18" w:name="_Toc333911341"/>
      <w:r>
        <w:rPr>
          <w:rFonts w:ascii="Times New Roman" w:hAnsi="Times New Roman" w:cs="Times New Roman"/>
          <w:b/>
          <w:sz w:val="24"/>
          <w:szCs w:val="24"/>
        </w:rPr>
        <w:t>Tabela 1. Rotas comercialmente implementadas atualmente</w:t>
      </w:r>
      <w:bookmarkEnd w:id="13"/>
      <w:bookmarkEnd w:id="14"/>
      <w:bookmarkEnd w:id="15"/>
      <w:bookmarkEnd w:id="16"/>
      <w:bookmarkEnd w:id="17"/>
      <w:bookmarkEnd w:id="18"/>
    </w:p>
    <w:tbl>
      <w:tblPr>
        <w:tblStyle w:val="Tabelacomgrade"/>
        <w:tblW w:w="9215" w:type="dxa"/>
        <w:tblInd w:w="-34"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1656"/>
        <w:gridCol w:w="1605"/>
        <w:gridCol w:w="1418"/>
        <w:gridCol w:w="1631"/>
        <w:gridCol w:w="1631"/>
        <w:gridCol w:w="1274"/>
      </w:tblGrid>
      <w:tr w:rsidR="00C6573C" w:rsidRPr="007E14A6" w:rsidTr="001D3C4C">
        <w:trPr>
          <w:trHeight w:val="606"/>
        </w:trPr>
        <w:tc>
          <w:tcPr>
            <w:tcW w:w="1656" w:type="dxa"/>
            <w:tcBorders>
              <w:bottom w:val="nil"/>
            </w:tcBorders>
            <w:shd w:val="pct50" w:color="auto" w:fill="9BBB59" w:themeFill="accent3"/>
            <w:vAlign w:val="center"/>
          </w:tcPr>
          <w:p w:rsidR="00C6573C" w:rsidRPr="007E14A6" w:rsidRDefault="00C6573C" w:rsidP="001D3C4C">
            <w:pPr>
              <w:spacing w:line="360" w:lineRule="auto"/>
              <w:jc w:val="center"/>
              <w:rPr>
                <w:rFonts w:ascii="Times New Roman" w:hAnsi="Times New Roman" w:cs="Times New Roman"/>
                <w:b/>
                <w:color w:val="FFFFFF" w:themeColor="background1"/>
                <w:sz w:val="18"/>
                <w:szCs w:val="18"/>
              </w:rPr>
            </w:pPr>
            <w:r w:rsidRPr="007E14A6">
              <w:rPr>
                <w:rFonts w:ascii="Times New Roman" w:hAnsi="Times New Roman" w:cs="Times New Roman"/>
                <w:b/>
                <w:color w:val="FFFFFF" w:themeColor="background1"/>
                <w:sz w:val="18"/>
                <w:szCs w:val="18"/>
              </w:rPr>
              <w:t>Biocombustível</w:t>
            </w:r>
          </w:p>
        </w:tc>
        <w:tc>
          <w:tcPr>
            <w:tcW w:w="1605" w:type="dxa"/>
            <w:tcBorders>
              <w:bottom w:val="nil"/>
            </w:tcBorders>
            <w:shd w:val="pct50" w:color="auto" w:fill="9BBB59" w:themeFill="accent3"/>
            <w:vAlign w:val="center"/>
          </w:tcPr>
          <w:p w:rsidR="00C6573C" w:rsidRPr="007E14A6" w:rsidRDefault="00C6573C" w:rsidP="001D3C4C">
            <w:pPr>
              <w:spacing w:line="360" w:lineRule="auto"/>
              <w:jc w:val="center"/>
              <w:rPr>
                <w:rFonts w:ascii="Times New Roman" w:hAnsi="Times New Roman" w:cs="Times New Roman"/>
                <w:b/>
                <w:color w:val="FFFFFF" w:themeColor="background1"/>
                <w:sz w:val="18"/>
                <w:szCs w:val="18"/>
              </w:rPr>
            </w:pPr>
            <w:r w:rsidRPr="007E14A6">
              <w:rPr>
                <w:rFonts w:ascii="Times New Roman" w:hAnsi="Times New Roman" w:cs="Times New Roman"/>
                <w:b/>
                <w:color w:val="FFFFFF" w:themeColor="background1"/>
                <w:sz w:val="18"/>
                <w:szCs w:val="18"/>
              </w:rPr>
              <w:t>Matéria-prima</w:t>
            </w:r>
          </w:p>
        </w:tc>
        <w:tc>
          <w:tcPr>
            <w:tcW w:w="1418" w:type="dxa"/>
            <w:tcBorders>
              <w:bottom w:val="nil"/>
            </w:tcBorders>
            <w:shd w:val="pct50" w:color="auto" w:fill="9BBB59" w:themeFill="accent3"/>
            <w:vAlign w:val="center"/>
          </w:tcPr>
          <w:p w:rsidR="00C6573C" w:rsidRPr="007E14A6" w:rsidRDefault="00C6573C" w:rsidP="001D3C4C">
            <w:pPr>
              <w:spacing w:line="360" w:lineRule="auto"/>
              <w:jc w:val="center"/>
              <w:rPr>
                <w:rFonts w:ascii="Times New Roman" w:hAnsi="Times New Roman" w:cs="Times New Roman"/>
                <w:b/>
                <w:color w:val="FFFFFF" w:themeColor="background1"/>
                <w:sz w:val="18"/>
                <w:szCs w:val="18"/>
              </w:rPr>
            </w:pPr>
            <w:r w:rsidRPr="007E14A6">
              <w:rPr>
                <w:rFonts w:ascii="Times New Roman" w:hAnsi="Times New Roman" w:cs="Times New Roman"/>
                <w:b/>
                <w:color w:val="FFFFFF" w:themeColor="background1"/>
                <w:sz w:val="18"/>
                <w:szCs w:val="18"/>
              </w:rPr>
              <w:t>Redução na</w:t>
            </w:r>
            <w:r>
              <w:rPr>
                <w:rFonts w:ascii="Times New Roman" w:hAnsi="Times New Roman" w:cs="Times New Roman"/>
                <w:b/>
                <w:color w:val="FFFFFF" w:themeColor="background1"/>
                <w:sz w:val="18"/>
                <w:szCs w:val="18"/>
              </w:rPr>
              <w:t>s emissões</w:t>
            </w:r>
            <w:r w:rsidRPr="007E14A6">
              <w:rPr>
                <w:rFonts w:ascii="Times New Roman" w:hAnsi="Times New Roman" w:cs="Times New Roman"/>
                <w:b/>
                <w:color w:val="FFFFFF" w:themeColor="background1"/>
                <w:sz w:val="18"/>
                <w:szCs w:val="18"/>
              </w:rPr>
              <w:t xml:space="preserve"> de GEE</w:t>
            </w:r>
          </w:p>
        </w:tc>
        <w:tc>
          <w:tcPr>
            <w:tcW w:w="1631" w:type="dxa"/>
            <w:tcBorders>
              <w:bottom w:val="nil"/>
            </w:tcBorders>
            <w:shd w:val="pct50" w:color="auto" w:fill="9BBB59" w:themeFill="accent3"/>
            <w:vAlign w:val="center"/>
          </w:tcPr>
          <w:p w:rsidR="00C6573C" w:rsidRPr="007E14A6" w:rsidRDefault="00C6573C" w:rsidP="001D3C4C">
            <w:pPr>
              <w:spacing w:line="360" w:lineRule="auto"/>
              <w:jc w:val="center"/>
              <w:rPr>
                <w:rFonts w:ascii="Times New Roman" w:hAnsi="Times New Roman" w:cs="Times New Roman"/>
                <w:b/>
                <w:color w:val="FFFFFF" w:themeColor="background1"/>
                <w:sz w:val="18"/>
                <w:szCs w:val="18"/>
              </w:rPr>
            </w:pPr>
            <w:r w:rsidRPr="007E14A6">
              <w:rPr>
                <w:rFonts w:ascii="Times New Roman" w:hAnsi="Times New Roman" w:cs="Times New Roman"/>
                <w:b/>
                <w:color w:val="FFFFFF" w:themeColor="background1"/>
                <w:sz w:val="18"/>
                <w:szCs w:val="18"/>
              </w:rPr>
              <w:t>Custo de produção</w:t>
            </w:r>
          </w:p>
        </w:tc>
        <w:tc>
          <w:tcPr>
            <w:tcW w:w="1631" w:type="dxa"/>
            <w:tcBorders>
              <w:bottom w:val="nil"/>
            </w:tcBorders>
            <w:shd w:val="pct50" w:color="auto" w:fill="9BBB59" w:themeFill="accent3"/>
            <w:vAlign w:val="center"/>
          </w:tcPr>
          <w:p w:rsidR="00C6573C" w:rsidRPr="007E14A6" w:rsidRDefault="00C6573C" w:rsidP="001D3C4C">
            <w:pPr>
              <w:spacing w:line="360" w:lineRule="auto"/>
              <w:jc w:val="center"/>
              <w:rPr>
                <w:rFonts w:ascii="Times New Roman" w:hAnsi="Times New Roman" w:cs="Times New Roman"/>
                <w:b/>
                <w:color w:val="FFFFFF" w:themeColor="background1"/>
                <w:sz w:val="18"/>
                <w:szCs w:val="18"/>
              </w:rPr>
            </w:pPr>
            <w:r w:rsidRPr="007E14A6">
              <w:rPr>
                <w:rFonts w:ascii="Times New Roman" w:hAnsi="Times New Roman" w:cs="Times New Roman"/>
                <w:b/>
                <w:color w:val="FFFFFF" w:themeColor="background1"/>
                <w:sz w:val="18"/>
                <w:szCs w:val="18"/>
              </w:rPr>
              <w:t>Produção de biocombustível</w:t>
            </w:r>
          </w:p>
          <w:p w:rsidR="00C6573C" w:rsidRPr="007E14A6" w:rsidRDefault="00C6573C" w:rsidP="001D3C4C">
            <w:pPr>
              <w:spacing w:line="360" w:lineRule="auto"/>
              <w:jc w:val="center"/>
              <w:rPr>
                <w:rFonts w:ascii="Times New Roman" w:hAnsi="Times New Roman" w:cs="Times New Roman"/>
                <w:b/>
                <w:color w:val="FFFFFF" w:themeColor="background1"/>
                <w:sz w:val="18"/>
                <w:szCs w:val="18"/>
              </w:rPr>
            </w:pPr>
            <w:r w:rsidRPr="007E14A6">
              <w:rPr>
                <w:rFonts w:ascii="Times New Roman" w:hAnsi="Times New Roman" w:cs="Times New Roman"/>
                <w:b/>
                <w:color w:val="FFFFFF" w:themeColor="background1"/>
                <w:sz w:val="18"/>
                <w:szCs w:val="18"/>
              </w:rPr>
              <w:t>por hectare</w:t>
            </w:r>
          </w:p>
        </w:tc>
        <w:tc>
          <w:tcPr>
            <w:tcW w:w="1274" w:type="dxa"/>
            <w:tcBorders>
              <w:bottom w:val="nil"/>
            </w:tcBorders>
            <w:shd w:val="pct50" w:color="auto" w:fill="9BBB59" w:themeFill="accent3"/>
            <w:vAlign w:val="center"/>
          </w:tcPr>
          <w:p w:rsidR="00C6573C" w:rsidRPr="007E14A6" w:rsidRDefault="00C6573C" w:rsidP="001D3C4C">
            <w:pPr>
              <w:spacing w:line="360" w:lineRule="auto"/>
              <w:jc w:val="center"/>
              <w:rPr>
                <w:rFonts w:ascii="Times New Roman" w:hAnsi="Times New Roman" w:cs="Times New Roman"/>
                <w:b/>
                <w:color w:val="FFFFFF" w:themeColor="background1"/>
                <w:sz w:val="18"/>
                <w:szCs w:val="18"/>
              </w:rPr>
            </w:pPr>
            <w:r w:rsidRPr="007E14A6">
              <w:rPr>
                <w:rFonts w:ascii="Times New Roman" w:hAnsi="Times New Roman" w:cs="Times New Roman"/>
                <w:b/>
                <w:color w:val="FFFFFF" w:themeColor="background1"/>
                <w:sz w:val="18"/>
                <w:szCs w:val="18"/>
              </w:rPr>
              <w:t>Terras utilizadas</w:t>
            </w:r>
          </w:p>
        </w:tc>
      </w:tr>
      <w:tr w:rsidR="00C6573C" w:rsidRPr="007E14A6" w:rsidTr="001D3C4C">
        <w:trPr>
          <w:trHeight w:val="409"/>
        </w:trPr>
        <w:tc>
          <w:tcPr>
            <w:tcW w:w="1656" w:type="dxa"/>
            <w:tcBorders>
              <w:top w:val="nil"/>
            </w:tcBorders>
            <w:vAlign w:val="center"/>
          </w:tcPr>
          <w:p w:rsidR="00C6573C" w:rsidRPr="007E14A6" w:rsidRDefault="00C6573C" w:rsidP="001D3C4C">
            <w:pPr>
              <w:spacing w:line="360" w:lineRule="auto"/>
              <w:jc w:val="center"/>
              <w:rPr>
                <w:rFonts w:ascii="Times New Roman" w:hAnsi="Times New Roman" w:cs="Times New Roman"/>
                <w:b/>
                <w:sz w:val="18"/>
                <w:szCs w:val="18"/>
              </w:rPr>
            </w:pPr>
            <w:r w:rsidRPr="007E14A6">
              <w:rPr>
                <w:rFonts w:ascii="Times New Roman" w:hAnsi="Times New Roman" w:cs="Times New Roman"/>
                <w:b/>
                <w:sz w:val="18"/>
                <w:szCs w:val="18"/>
              </w:rPr>
              <w:t>Bioetanol</w:t>
            </w:r>
          </w:p>
        </w:tc>
        <w:tc>
          <w:tcPr>
            <w:tcW w:w="1605" w:type="dxa"/>
            <w:tcBorders>
              <w:top w:val="nil"/>
            </w:tcBorders>
            <w:vAlign w:val="center"/>
          </w:tcPr>
          <w:p w:rsidR="00C6573C" w:rsidRPr="007E14A6" w:rsidRDefault="00C6573C" w:rsidP="001D3C4C">
            <w:pPr>
              <w:spacing w:line="360" w:lineRule="auto"/>
              <w:jc w:val="center"/>
              <w:rPr>
                <w:rFonts w:ascii="Times New Roman" w:hAnsi="Times New Roman" w:cs="Times New Roman"/>
                <w:sz w:val="18"/>
                <w:szCs w:val="18"/>
              </w:rPr>
            </w:pPr>
            <w:r w:rsidRPr="007E14A6">
              <w:rPr>
                <w:rFonts w:ascii="Times New Roman" w:hAnsi="Times New Roman" w:cs="Times New Roman"/>
                <w:sz w:val="18"/>
                <w:szCs w:val="18"/>
              </w:rPr>
              <w:t>Grãos (trigo, milho)</w:t>
            </w:r>
          </w:p>
        </w:tc>
        <w:tc>
          <w:tcPr>
            <w:tcW w:w="1418" w:type="dxa"/>
            <w:tcBorders>
              <w:top w:val="nil"/>
            </w:tcBorders>
            <w:vAlign w:val="center"/>
          </w:tcPr>
          <w:p w:rsidR="00C6573C" w:rsidRPr="007E14A6" w:rsidRDefault="00C6573C" w:rsidP="001D3C4C">
            <w:pPr>
              <w:spacing w:line="360" w:lineRule="auto"/>
              <w:jc w:val="center"/>
              <w:rPr>
                <w:rFonts w:ascii="Times New Roman" w:hAnsi="Times New Roman" w:cs="Times New Roman"/>
                <w:sz w:val="18"/>
                <w:szCs w:val="18"/>
              </w:rPr>
            </w:pPr>
            <w:r w:rsidRPr="007E14A6">
              <w:rPr>
                <w:rFonts w:ascii="Times New Roman" w:hAnsi="Times New Roman" w:cs="Times New Roman"/>
                <w:sz w:val="18"/>
                <w:szCs w:val="18"/>
              </w:rPr>
              <w:t>Moderado a baixo</w:t>
            </w:r>
          </w:p>
        </w:tc>
        <w:tc>
          <w:tcPr>
            <w:tcW w:w="1631" w:type="dxa"/>
            <w:tcBorders>
              <w:top w:val="nil"/>
            </w:tcBorders>
            <w:vAlign w:val="center"/>
          </w:tcPr>
          <w:p w:rsidR="00C6573C" w:rsidRPr="007E14A6" w:rsidRDefault="00C6573C" w:rsidP="001D3C4C">
            <w:pPr>
              <w:spacing w:line="360" w:lineRule="auto"/>
              <w:jc w:val="center"/>
              <w:rPr>
                <w:rFonts w:ascii="Times New Roman" w:hAnsi="Times New Roman" w:cs="Times New Roman"/>
                <w:sz w:val="18"/>
                <w:szCs w:val="18"/>
              </w:rPr>
            </w:pPr>
            <w:r w:rsidRPr="007E14A6">
              <w:rPr>
                <w:rFonts w:ascii="Times New Roman" w:hAnsi="Times New Roman" w:cs="Times New Roman"/>
                <w:sz w:val="18"/>
                <w:szCs w:val="18"/>
              </w:rPr>
              <w:t>Moderado</w:t>
            </w:r>
          </w:p>
        </w:tc>
        <w:tc>
          <w:tcPr>
            <w:tcW w:w="1631" w:type="dxa"/>
            <w:tcBorders>
              <w:top w:val="nil"/>
            </w:tcBorders>
            <w:vAlign w:val="center"/>
          </w:tcPr>
          <w:p w:rsidR="00C6573C" w:rsidRPr="007E14A6" w:rsidRDefault="00C6573C" w:rsidP="001D3C4C">
            <w:pPr>
              <w:spacing w:line="360" w:lineRule="auto"/>
              <w:jc w:val="center"/>
              <w:rPr>
                <w:rFonts w:ascii="Times New Roman" w:hAnsi="Times New Roman" w:cs="Times New Roman"/>
                <w:sz w:val="18"/>
                <w:szCs w:val="18"/>
              </w:rPr>
            </w:pPr>
            <w:r w:rsidRPr="007E14A6">
              <w:rPr>
                <w:rFonts w:ascii="Times New Roman" w:hAnsi="Times New Roman" w:cs="Times New Roman"/>
                <w:sz w:val="18"/>
                <w:szCs w:val="18"/>
              </w:rPr>
              <w:t>Moderado</w:t>
            </w:r>
          </w:p>
        </w:tc>
        <w:tc>
          <w:tcPr>
            <w:tcW w:w="1274" w:type="dxa"/>
            <w:tcBorders>
              <w:top w:val="nil"/>
            </w:tcBorders>
            <w:vAlign w:val="center"/>
          </w:tcPr>
          <w:p w:rsidR="00C6573C" w:rsidRPr="007E14A6" w:rsidRDefault="00C6573C" w:rsidP="001D3C4C">
            <w:pPr>
              <w:spacing w:line="360" w:lineRule="auto"/>
              <w:jc w:val="center"/>
              <w:rPr>
                <w:rFonts w:ascii="Times New Roman" w:hAnsi="Times New Roman" w:cs="Times New Roman"/>
                <w:sz w:val="18"/>
                <w:szCs w:val="18"/>
              </w:rPr>
            </w:pPr>
            <w:r w:rsidRPr="007E14A6">
              <w:rPr>
                <w:rFonts w:ascii="Times New Roman" w:hAnsi="Times New Roman" w:cs="Times New Roman"/>
                <w:sz w:val="18"/>
                <w:szCs w:val="18"/>
              </w:rPr>
              <w:t>Terras férteis</w:t>
            </w:r>
          </w:p>
        </w:tc>
      </w:tr>
      <w:tr w:rsidR="00C6573C" w:rsidRPr="007E14A6" w:rsidTr="001D3C4C">
        <w:trPr>
          <w:trHeight w:val="415"/>
        </w:trPr>
        <w:tc>
          <w:tcPr>
            <w:tcW w:w="1656" w:type="dxa"/>
            <w:vAlign w:val="center"/>
          </w:tcPr>
          <w:p w:rsidR="00C6573C" w:rsidRPr="007E14A6" w:rsidRDefault="00C6573C" w:rsidP="001D3C4C">
            <w:pPr>
              <w:spacing w:line="360" w:lineRule="auto"/>
              <w:jc w:val="center"/>
              <w:rPr>
                <w:rFonts w:ascii="Times New Roman" w:hAnsi="Times New Roman" w:cs="Times New Roman"/>
                <w:b/>
                <w:sz w:val="18"/>
                <w:szCs w:val="18"/>
              </w:rPr>
            </w:pPr>
            <w:r w:rsidRPr="007E14A6">
              <w:rPr>
                <w:rFonts w:ascii="Times New Roman" w:hAnsi="Times New Roman" w:cs="Times New Roman"/>
                <w:b/>
                <w:sz w:val="18"/>
                <w:szCs w:val="18"/>
              </w:rPr>
              <w:t>Bioetanol</w:t>
            </w:r>
          </w:p>
        </w:tc>
        <w:tc>
          <w:tcPr>
            <w:tcW w:w="1605" w:type="dxa"/>
            <w:vAlign w:val="center"/>
          </w:tcPr>
          <w:p w:rsidR="00C6573C" w:rsidRPr="007E14A6" w:rsidRDefault="00C6573C" w:rsidP="001D3C4C">
            <w:pPr>
              <w:spacing w:line="360" w:lineRule="auto"/>
              <w:jc w:val="center"/>
              <w:rPr>
                <w:rFonts w:ascii="Times New Roman" w:hAnsi="Times New Roman" w:cs="Times New Roman"/>
                <w:sz w:val="18"/>
                <w:szCs w:val="18"/>
              </w:rPr>
            </w:pPr>
            <w:r w:rsidRPr="007E14A6">
              <w:rPr>
                <w:rFonts w:ascii="Times New Roman" w:hAnsi="Times New Roman" w:cs="Times New Roman"/>
                <w:sz w:val="18"/>
                <w:szCs w:val="18"/>
              </w:rPr>
              <w:t>Cana-de-açúcar</w:t>
            </w:r>
          </w:p>
        </w:tc>
        <w:tc>
          <w:tcPr>
            <w:tcW w:w="1418" w:type="dxa"/>
            <w:vAlign w:val="center"/>
          </w:tcPr>
          <w:p w:rsidR="00C6573C" w:rsidRPr="007E14A6" w:rsidRDefault="00C6573C" w:rsidP="001D3C4C">
            <w:pPr>
              <w:spacing w:line="360" w:lineRule="auto"/>
              <w:jc w:val="center"/>
              <w:rPr>
                <w:rFonts w:ascii="Times New Roman" w:hAnsi="Times New Roman" w:cs="Times New Roman"/>
                <w:sz w:val="18"/>
                <w:szCs w:val="18"/>
              </w:rPr>
            </w:pPr>
            <w:r w:rsidRPr="007E14A6">
              <w:rPr>
                <w:rFonts w:ascii="Times New Roman" w:hAnsi="Times New Roman" w:cs="Times New Roman"/>
                <w:sz w:val="18"/>
                <w:szCs w:val="18"/>
              </w:rPr>
              <w:t>Alto</w:t>
            </w:r>
          </w:p>
        </w:tc>
        <w:tc>
          <w:tcPr>
            <w:tcW w:w="1631" w:type="dxa"/>
            <w:vAlign w:val="center"/>
          </w:tcPr>
          <w:p w:rsidR="00C6573C" w:rsidRPr="007E14A6" w:rsidRDefault="00C6573C" w:rsidP="001D3C4C">
            <w:pPr>
              <w:spacing w:line="360" w:lineRule="auto"/>
              <w:jc w:val="center"/>
              <w:rPr>
                <w:rFonts w:ascii="Times New Roman" w:hAnsi="Times New Roman" w:cs="Times New Roman"/>
                <w:sz w:val="18"/>
                <w:szCs w:val="18"/>
              </w:rPr>
            </w:pPr>
            <w:r w:rsidRPr="007E14A6">
              <w:rPr>
                <w:rFonts w:ascii="Times New Roman" w:hAnsi="Times New Roman" w:cs="Times New Roman"/>
                <w:sz w:val="18"/>
                <w:szCs w:val="18"/>
              </w:rPr>
              <w:t>Baixo</w:t>
            </w:r>
          </w:p>
        </w:tc>
        <w:tc>
          <w:tcPr>
            <w:tcW w:w="1631" w:type="dxa"/>
            <w:vAlign w:val="center"/>
          </w:tcPr>
          <w:p w:rsidR="00C6573C" w:rsidRPr="007E14A6" w:rsidRDefault="00C6573C" w:rsidP="001D3C4C">
            <w:pPr>
              <w:spacing w:line="360" w:lineRule="auto"/>
              <w:jc w:val="center"/>
              <w:rPr>
                <w:rFonts w:ascii="Times New Roman" w:hAnsi="Times New Roman" w:cs="Times New Roman"/>
                <w:sz w:val="18"/>
                <w:szCs w:val="18"/>
              </w:rPr>
            </w:pPr>
            <w:r w:rsidRPr="007E14A6">
              <w:rPr>
                <w:rFonts w:ascii="Times New Roman" w:hAnsi="Times New Roman" w:cs="Times New Roman"/>
                <w:sz w:val="18"/>
                <w:szCs w:val="18"/>
              </w:rPr>
              <w:t>Alto</w:t>
            </w:r>
          </w:p>
        </w:tc>
        <w:tc>
          <w:tcPr>
            <w:tcW w:w="1274" w:type="dxa"/>
            <w:vAlign w:val="center"/>
          </w:tcPr>
          <w:p w:rsidR="00C6573C" w:rsidRPr="007E14A6" w:rsidRDefault="00C6573C" w:rsidP="001D3C4C">
            <w:pPr>
              <w:spacing w:line="360" w:lineRule="auto"/>
              <w:jc w:val="center"/>
              <w:rPr>
                <w:rFonts w:ascii="Times New Roman" w:hAnsi="Times New Roman" w:cs="Times New Roman"/>
                <w:sz w:val="18"/>
                <w:szCs w:val="18"/>
              </w:rPr>
            </w:pPr>
            <w:r w:rsidRPr="007E14A6">
              <w:rPr>
                <w:rFonts w:ascii="Times New Roman" w:hAnsi="Times New Roman" w:cs="Times New Roman"/>
                <w:sz w:val="18"/>
                <w:szCs w:val="18"/>
              </w:rPr>
              <w:t>Terras férteis</w:t>
            </w:r>
          </w:p>
        </w:tc>
      </w:tr>
      <w:tr w:rsidR="00C6573C" w:rsidRPr="007E14A6" w:rsidTr="001D3C4C">
        <w:trPr>
          <w:trHeight w:val="773"/>
        </w:trPr>
        <w:tc>
          <w:tcPr>
            <w:tcW w:w="1656" w:type="dxa"/>
            <w:vAlign w:val="center"/>
          </w:tcPr>
          <w:p w:rsidR="00C6573C" w:rsidRPr="007E14A6" w:rsidRDefault="00C6573C" w:rsidP="001D3C4C">
            <w:pPr>
              <w:spacing w:line="360" w:lineRule="auto"/>
              <w:jc w:val="center"/>
              <w:rPr>
                <w:rFonts w:ascii="Times New Roman" w:hAnsi="Times New Roman" w:cs="Times New Roman"/>
                <w:b/>
                <w:sz w:val="18"/>
                <w:szCs w:val="18"/>
              </w:rPr>
            </w:pPr>
            <w:r w:rsidRPr="007E14A6">
              <w:rPr>
                <w:rFonts w:ascii="Times New Roman" w:hAnsi="Times New Roman" w:cs="Times New Roman"/>
                <w:b/>
                <w:sz w:val="18"/>
                <w:szCs w:val="18"/>
              </w:rPr>
              <w:t>Biodiesel</w:t>
            </w:r>
          </w:p>
        </w:tc>
        <w:tc>
          <w:tcPr>
            <w:tcW w:w="1605" w:type="dxa"/>
            <w:vAlign w:val="center"/>
          </w:tcPr>
          <w:p w:rsidR="00C6573C" w:rsidRPr="007E14A6" w:rsidRDefault="00C6573C" w:rsidP="001D3C4C">
            <w:pPr>
              <w:spacing w:line="360" w:lineRule="auto"/>
              <w:jc w:val="center"/>
              <w:rPr>
                <w:rFonts w:ascii="Times New Roman" w:hAnsi="Times New Roman" w:cs="Times New Roman"/>
                <w:sz w:val="18"/>
                <w:szCs w:val="18"/>
              </w:rPr>
            </w:pPr>
            <w:r w:rsidRPr="007E14A6">
              <w:rPr>
                <w:rFonts w:ascii="Times New Roman" w:hAnsi="Times New Roman" w:cs="Times New Roman"/>
                <w:sz w:val="18"/>
                <w:szCs w:val="18"/>
              </w:rPr>
              <w:t>Óleos de sementes (canola, soja, etc.)</w:t>
            </w:r>
          </w:p>
        </w:tc>
        <w:tc>
          <w:tcPr>
            <w:tcW w:w="1418" w:type="dxa"/>
            <w:vAlign w:val="center"/>
          </w:tcPr>
          <w:p w:rsidR="00C6573C" w:rsidRPr="007E14A6" w:rsidRDefault="00C6573C" w:rsidP="001D3C4C">
            <w:pPr>
              <w:spacing w:line="360" w:lineRule="auto"/>
              <w:jc w:val="center"/>
              <w:rPr>
                <w:rFonts w:ascii="Times New Roman" w:hAnsi="Times New Roman" w:cs="Times New Roman"/>
                <w:sz w:val="18"/>
                <w:szCs w:val="18"/>
              </w:rPr>
            </w:pPr>
            <w:r w:rsidRPr="007E14A6">
              <w:rPr>
                <w:rFonts w:ascii="Times New Roman" w:hAnsi="Times New Roman" w:cs="Times New Roman"/>
                <w:sz w:val="18"/>
                <w:szCs w:val="18"/>
              </w:rPr>
              <w:t>Moderado</w:t>
            </w:r>
          </w:p>
        </w:tc>
        <w:tc>
          <w:tcPr>
            <w:tcW w:w="1631" w:type="dxa"/>
            <w:vAlign w:val="center"/>
          </w:tcPr>
          <w:p w:rsidR="00C6573C" w:rsidRPr="007E14A6" w:rsidRDefault="00C6573C" w:rsidP="001D3C4C">
            <w:pPr>
              <w:spacing w:line="360" w:lineRule="auto"/>
              <w:jc w:val="center"/>
              <w:rPr>
                <w:rFonts w:ascii="Times New Roman" w:hAnsi="Times New Roman" w:cs="Times New Roman"/>
                <w:sz w:val="18"/>
                <w:szCs w:val="18"/>
              </w:rPr>
            </w:pPr>
            <w:r w:rsidRPr="007E14A6">
              <w:rPr>
                <w:rFonts w:ascii="Times New Roman" w:hAnsi="Times New Roman" w:cs="Times New Roman"/>
                <w:sz w:val="18"/>
                <w:szCs w:val="18"/>
              </w:rPr>
              <w:t>Moderado</w:t>
            </w:r>
          </w:p>
        </w:tc>
        <w:tc>
          <w:tcPr>
            <w:tcW w:w="1631" w:type="dxa"/>
            <w:vAlign w:val="center"/>
          </w:tcPr>
          <w:p w:rsidR="00C6573C" w:rsidRPr="007E14A6" w:rsidRDefault="00C6573C" w:rsidP="001D3C4C">
            <w:pPr>
              <w:spacing w:line="360" w:lineRule="auto"/>
              <w:jc w:val="center"/>
              <w:rPr>
                <w:rFonts w:ascii="Times New Roman" w:hAnsi="Times New Roman" w:cs="Times New Roman"/>
                <w:sz w:val="18"/>
                <w:szCs w:val="18"/>
              </w:rPr>
            </w:pPr>
            <w:r w:rsidRPr="007E14A6">
              <w:rPr>
                <w:rFonts w:ascii="Times New Roman" w:hAnsi="Times New Roman" w:cs="Times New Roman"/>
                <w:sz w:val="18"/>
                <w:szCs w:val="18"/>
              </w:rPr>
              <w:t>Baixo</w:t>
            </w:r>
          </w:p>
        </w:tc>
        <w:tc>
          <w:tcPr>
            <w:tcW w:w="1274" w:type="dxa"/>
            <w:vAlign w:val="center"/>
          </w:tcPr>
          <w:p w:rsidR="00C6573C" w:rsidRPr="007E14A6" w:rsidRDefault="00C6573C" w:rsidP="001D3C4C">
            <w:pPr>
              <w:spacing w:line="360" w:lineRule="auto"/>
              <w:jc w:val="center"/>
              <w:rPr>
                <w:rFonts w:ascii="Times New Roman" w:hAnsi="Times New Roman" w:cs="Times New Roman"/>
                <w:sz w:val="18"/>
                <w:szCs w:val="18"/>
              </w:rPr>
            </w:pPr>
            <w:r w:rsidRPr="007E14A6">
              <w:rPr>
                <w:rFonts w:ascii="Times New Roman" w:hAnsi="Times New Roman" w:cs="Times New Roman"/>
                <w:sz w:val="18"/>
                <w:szCs w:val="18"/>
              </w:rPr>
              <w:t>Terras férteis</w:t>
            </w:r>
          </w:p>
        </w:tc>
      </w:tr>
      <w:tr w:rsidR="00C6573C" w:rsidRPr="007E14A6" w:rsidTr="001D3C4C">
        <w:trPr>
          <w:trHeight w:val="754"/>
        </w:trPr>
        <w:tc>
          <w:tcPr>
            <w:tcW w:w="1656" w:type="dxa"/>
            <w:vAlign w:val="center"/>
          </w:tcPr>
          <w:p w:rsidR="00C6573C" w:rsidRPr="007E14A6" w:rsidRDefault="00C6573C" w:rsidP="001D3C4C">
            <w:pPr>
              <w:spacing w:line="360" w:lineRule="auto"/>
              <w:jc w:val="center"/>
              <w:rPr>
                <w:rFonts w:ascii="Times New Roman" w:hAnsi="Times New Roman" w:cs="Times New Roman"/>
                <w:b/>
                <w:sz w:val="18"/>
                <w:szCs w:val="18"/>
              </w:rPr>
            </w:pPr>
            <w:r w:rsidRPr="007E14A6">
              <w:rPr>
                <w:rFonts w:ascii="Times New Roman" w:hAnsi="Times New Roman" w:cs="Times New Roman"/>
                <w:b/>
                <w:sz w:val="18"/>
                <w:szCs w:val="18"/>
              </w:rPr>
              <w:t>Biodiesel</w:t>
            </w:r>
          </w:p>
        </w:tc>
        <w:tc>
          <w:tcPr>
            <w:tcW w:w="1605" w:type="dxa"/>
            <w:vAlign w:val="center"/>
          </w:tcPr>
          <w:p w:rsidR="00C6573C" w:rsidRPr="007E14A6" w:rsidRDefault="00C6573C" w:rsidP="001D3C4C">
            <w:pPr>
              <w:spacing w:line="360" w:lineRule="auto"/>
              <w:jc w:val="center"/>
              <w:rPr>
                <w:rFonts w:ascii="Times New Roman" w:hAnsi="Times New Roman" w:cs="Times New Roman"/>
                <w:sz w:val="18"/>
                <w:szCs w:val="18"/>
              </w:rPr>
            </w:pPr>
            <w:r w:rsidRPr="007E14A6">
              <w:rPr>
                <w:rFonts w:ascii="Times New Roman" w:hAnsi="Times New Roman" w:cs="Times New Roman"/>
                <w:sz w:val="18"/>
                <w:szCs w:val="18"/>
              </w:rPr>
              <w:t>Óleo de palma</w:t>
            </w:r>
          </w:p>
        </w:tc>
        <w:tc>
          <w:tcPr>
            <w:tcW w:w="1418" w:type="dxa"/>
            <w:vAlign w:val="center"/>
          </w:tcPr>
          <w:p w:rsidR="00C6573C" w:rsidRPr="007E14A6" w:rsidRDefault="00C6573C" w:rsidP="001D3C4C">
            <w:pPr>
              <w:spacing w:line="360" w:lineRule="auto"/>
              <w:jc w:val="center"/>
              <w:rPr>
                <w:rFonts w:ascii="Times New Roman" w:hAnsi="Times New Roman" w:cs="Times New Roman"/>
                <w:sz w:val="18"/>
                <w:szCs w:val="18"/>
              </w:rPr>
            </w:pPr>
            <w:r w:rsidRPr="007E14A6">
              <w:rPr>
                <w:rFonts w:ascii="Times New Roman" w:hAnsi="Times New Roman" w:cs="Times New Roman"/>
                <w:sz w:val="18"/>
                <w:szCs w:val="18"/>
              </w:rPr>
              <w:t>Moderado</w:t>
            </w:r>
          </w:p>
        </w:tc>
        <w:tc>
          <w:tcPr>
            <w:tcW w:w="1631" w:type="dxa"/>
            <w:vAlign w:val="center"/>
          </w:tcPr>
          <w:p w:rsidR="00C6573C" w:rsidRPr="007E14A6" w:rsidRDefault="00C6573C" w:rsidP="001D3C4C">
            <w:pPr>
              <w:spacing w:line="360" w:lineRule="auto"/>
              <w:jc w:val="center"/>
              <w:rPr>
                <w:rFonts w:ascii="Times New Roman" w:hAnsi="Times New Roman" w:cs="Times New Roman"/>
                <w:sz w:val="18"/>
                <w:szCs w:val="18"/>
              </w:rPr>
            </w:pPr>
            <w:r w:rsidRPr="007E14A6">
              <w:rPr>
                <w:rFonts w:ascii="Times New Roman" w:hAnsi="Times New Roman" w:cs="Times New Roman"/>
                <w:sz w:val="18"/>
                <w:szCs w:val="18"/>
              </w:rPr>
              <w:t>Moderado a baixo</w:t>
            </w:r>
          </w:p>
        </w:tc>
        <w:tc>
          <w:tcPr>
            <w:tcW w:w="1631" w:type="dxa"/>
            <w:vAlign w:val="center"/>
          </w:tcPr>
          <w:p w:rsidR="00C6573C" w:rsidRPr="007E14A6" w:rsidRDefault="00C6573C" w:rsidP="001D3C4C">
            <w:pPr>
              <w:spacing w:line="360" w:lineRule="auto"/>
              <w:jc w:val="center"/>
              <w:rPr>
                <w:rFonts w:ascii="Times New Roman" w:hAnsi="Times New Roman" w:cs="Times New Roman"/>
                <w:sz w:val="18"/>
                <w:szCs w:val="18"/>
              </w:rPr>
            </w:pPr>
            <w:r w:rsidRPr="007E14A6">
              <w:rPr>
                <w:rFonts w:ascii="Times New Roman" w:hAnsi="Times New Roman" w:cs="Times New Roman"/>
                <w:sz w:val="18"/>
                <w:szCs w:val="18"/>
              </w:rPr>
              <w:t>Moderado</w:t>
            </w:r>
          </w:p>
        </w:tc>
        <w:tc>
          <w:tcPr>
            <w:tcW w:w="1274" w:type="dxa"/>
            <w:vAlign w:val="center"/>
          </w:tcPr>
          <w:p w:rsidR="00C6573C" w:rsidRPr="007E14A6" w:rsidRDefault="00C6573C" w:rsidP="001D3C4C">
            <w:pPr>
              <w:spacing w:line="360" w:lineRule="auto"/>
              <w:jc w:val="center"/>
              <w:rPr>
                <w:rFonts w:ascii="Times New Roman" w:hAnsi="Times New Roman" w:cs="Times New Roman"/>
                <w:sz w:val="18"/>
                <w:szCs w:val="18"/>
              </w:rPr>
            </w:pPr>
            <w:r w:rsidRPr="007E14A6">
              <w:rPr>
                <w:rFonts w:ascii="Times New Roman" w:hAnsi="Times New Roman" w:cs="Times New Roman"/>
                <w:sz w:val="18"/>
                <w:szCs w:val="18"/>
              </w:rPr>
              <w:t>Terras litorâneas e úmidas</w:t>
            </w:r>
          </w:p>
        </w:tc>
      </w:tr>
    </w:tbl>
    <w:p w:rsidR="00C6573C" w:rsidRPr="00555691" w:rsidRDefault="00C6573C" w:rsidP="00C6573C">
      <w:pPr>
        <w:spacing w:line="360" w:lineRule="auto"/>
        <w:rPr>
          <w:rFonts w:ascii="Times New Roman" w:hAnsi="Times New Roman" w:cs="Times New Roman"/>
          <w:sz w:val="20"/>
          <w:szCs w:val="20"/>
        </w:rPr>
      </w:pPr>
      <w:r w:rsidRPr="00555691">
        <w:rPr>
          <w:rFonts w:ascii="Times New Roman" w:hAnsi="Times New Roman" w:cs="Times New Roman"/>
          <w:sz w:val="20"/>
          <w:szCs w:val="20"/>
        </w:rPr>
        <w:t xml:space="preserve">Fonte: </w:t>
      </w:r>
      <w:r>
        <w:rPr>
          <w:rFonts w:ascii="Times New Roman" w:hAnsi="Times New Roman" w:cs="Times New Roman"/>
          <w:sz w:val="20"/>
          <w:szCs w:val="20"/>
        </w:rPr>
        <w:t xml:space="preserve">CGEE; </w:t>
      </w:r>
      <w:r w:rsidR="007525A9">
        <w:rPr>
          <w:rFonts w:ascii="Times New Roman" w:hAnsi="Times New Roman" w:cs="Times New Roman"/>
          <w:sz w:val="20"/>
          <w:szCs w:val="20"/>
        </w:rPr>
        <w:t>BNDES (2008), adaptado de AIE</w:t>
      </w:r>
      <w:r w:rsidRPr="00555691">
        <w:rPr>
          <w:rFonts w:ascii="Times New Roman" w:hAnsi="Times New Roman" w:cs="Times New Roman"/>
          <w:sz w:val="20"/>
          <w:szCs w:val="20"/>
        </w:rPr>
        <w:t xml:space="preserve"> (2005)</w:t>
      </w:r>
    </w:p>
    <w:p w:rsidR="00C6573C" w:rsidRDefault="00C6573C" w:rsidP="00C6573C">
      <w:pPr>
        <w:spacing w:line="360" w:lineRule="auto"/>
        <w:rPr>
          <w:rFonts w:ascii="Times New Roman" w:hAnsi="Times New Roman" w:cs="Times New Roman"/>
          <w:sz w:val="24"/>
          <w:szCs w:val="24"/>
        </w:rPr>
      </w:pPr>
    </w:p>
    <w:p w:rsidR="00C6573C" w:rsidRDefault="00C6573C" w:rsidP="00C6573C">
      <w:pPr>
        <w:spacing w:line="360" w:lineRule="auto"/>
        <w:ind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 biodiesel de óleo de palma se mostra uma opção adequada a regiões litorâneas e de elevada umidade, apresentando vantagens significativas de rendimento quando comparado ao seu similar produzido a partir de óleos vegetais. Contudo, ressalta-se que a palma requer um cultivo perene, envolvendo investimentos de longo prazo, em contraste com as culturas de milho e soja que têm ciclos curtos de plantio e colheita.</w:t>
      </w:r>
    </w:p>
    <w:p w:rsidR="00064919" w:rsidRDefault="00064919" w:rsidP="00C6573C">
      <w:pPr>
        <w:spacing w:line="360" w:lineRule="auto"/>
        <w:ind w:firstLine="708"/>
        <w:rPr>
          <w:rFonts w:ascii="Times New Roman" w:hAnsi="Times New Roman" w:cs="Times New Roman"/>
          <w:color w:val="000000" w:themeColor="text1"/>
          <w:sz w:val="24"/>
          <w:szCs w:val="24"/>
        </w:rPr>
      </w:pPr>
    </w:p>
    <w:p w:rsidR="00064919" w:rsidRDefault="00064919" w:rsidP="00C6573C">
      <w:pPr>
        <w:spacing w:line="360" w:lineRule="auto"/>
        <w:ind w:firstLine="708"/>
        <w:rPr>
          <w:rFonts w:ascii="Times New Roman" w:hAnsi="Times New Roman" w:cs="Times New Roman"/>
          <w:color w:val="000000" w:themeColor="text1"/>
          <w:sz w:val="24"/>
          <w:szCs w:val="24"/>
        </w:rPr>
      </w:pPr>
    </w:p>
    <w:p w:rsidR="00064919" w:rsidRDefault="00064919" w:rsidP="00064919">
      <w:pPr>
        <w:spacing w:line="360" w:lineRule="auto"/>
        <w:rPr>
          <w:rFonts w:ascii="Times New Roman" w:hAnsi="Times New Roman" w:cs="Times New Roman"/>
          <w:color w:val="000000" w:themeColor="text1"/>
          <w:sz w:val="24"/>
          <w:szCs w:val="24"/>
        </w:rPr>
      </w:pPr>
    </w:p>
    <w:p w:rsidR="004B779D" w:rsidRPr="005D7629" w:rsidRDefault="00EE56DA" w:rsidP="00C6573C">
      <w:pPr>
        <w:spacing w:line="360" w:lineRule="auto"/>
        <w:ind w:firstLine="708"/>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w:pict>
          <v:shape id="_x0000_s1035" type="#_x0000_t202" style="position:absolute;left:0;text-align:left;margin-left:0;margin-top:-.3pt;width:455.2pt;height:581.5pt;z-index:251663360;mso-position-horizontal:center;mso-width-relative:margin;mso-height-relative:margin">
            <o:extrusion v:ext="view" rotationangle="20,20"/>
            <v:textbox style="mso-next-textbox:#_x0000_s1035">
              <w:txbxContent>
                <w:p w:rsidR="00A57446" w:rsidRPr="00064919" w:rsidRDefault="00A57446" w:rsidP="001D3C4C">
                  <w:pPr>
                    <w:spacing w:line="360" w:lineRule="auto"/>
                    <w:jc w:val="left"/>
                    <w:rPr>
                      <w:rFonts w:ascii="Times New Roman" w:hAnsi="Times New Roman" w:cs="Times New Roman"/>
                      <w:b/>
                      <w:sz w:val="24"/>
                      <w:szCs w:val="24"/>
                    </w:rPr>
                  </w:pPr>
                  <w:r>
                    <w:rPr>
                      <w:rFonts w:ascii="Times New Roman" w:hAnsi="Times New Roman" w:cs="Times New Roman"/>
                      <w:b/>
                      <w:sz w:val="24"/>
                      <w:szCs w:val="24"/>
                    </w:rPr>
                    <w:t>Quadro</w:t>
                  </w:r>
                  <w:r w:rsidRPr="00064919">
                    <w:rPr>
                      <w:rFonts w:ascii="Times New Roman" w:hAnsi="Times New Roman" w:cs="Times New Roman"/>
                      <w:b/>
                      <w:sz w:val="24"/>
                      <w:szCs w:val="24"/>
                    </w:rPr>
                    <w:t xml:space="preserve"> 1. As gerações de biocombustíveis</w:t>
                  </w:r>
                </w:p>
                <w:p w:rsidR="00A57446" w:rsidRDefault="00A57446" w:rsidP="001D3C4C">
                  <w:pPr>
                    <w:spacing w:line="360" w:lineRule="auto"/>
                    <w:jc w:val="center"/>
                    <w:rPr>
                      <w:rFonts w:ascii="Times New Roman" w:hAnsi="Times New Roman" w:cs="Times New Roman"/>
                      <w:sz w:val="24"/>
                      <w:szCs w:val="24"/>
                    </w:rPr>
                  </w:pPr>
                </w:p>
                <w:p w:rsidR="00A57446" w:rsidRDefault="00A57446" w:rsidP="00064919">
                  <w:pPr>
                    <w:spacing w:line="360" w:lineRule="auto"/>
                    <w:ind w:firstLine="708"/>
                    <w:rPr>
                      <w:rFonts w:ascii="Times New Roman" w:hAnsi="Times New Roman" w:cs="Times New Roman"/>
                      <w:sz w:val="24"/>
                      <w:szCs w:val="24"/>
                    </w:rPr>
                  </w:pPr>
                  <w:r w:rsidRPr="00064919">
                    <w:rPr>
                      <w:rFonts w:ascii="Times New Roman" w:hAnsi="Times New Roman" w:cs="Times New Roman"/>
                      <w:sz w:val="24"/>
                      <w:szCs w:val="24"/>
                    </w:rPr>
                    <w:t>Há estudos que utilizam a taxonomia das gerações de biocombustíveis. Os de primeira geração seriam produzidos com ap</w:t>
                  </w:r>
                  <w:r>
                    <w:rPr>
                      <w:rFonts w:ascii="Times New Roman" w:hAnsi="Times New Roman" w:cs="Times New Roman"/>
                      <w:sz w:val="24"/>
                      <w:szCs w:val="24"/>
                    </w:rPr>
                    <w:t>licação de tecnologias convencionais, ao passo que o</w:t>
                  </w:r>
                  <w:r w:rsidRPr="00064919">
                    <w:rPr>
                      <w:rFonts w:ascii="Times New Roman" w:hAnsi="Times New Roman" w:cs="Times New Roman"/>
                      <w:sz w:val="24"/>
                      <w:szCs w:val="24"/>
                    </w:rPr>
                    <w:t>s de segunda geração permitiriam a aplicação dessas tecnologias a novas matérias-primas, inclusive materi</w:t>
                  </w:r>
                  <w:r>
                    <w:rPr>
                      <w:rFonts w:ascii="Times New Roman" w:hAnsi="Times New Roman" w:cs="Times New Roman"/>
                      <w:sz w:val="24"/>
                      <w:szCs w:val="24"/>
                    </w:rPr>
                    <w:t>al ligno-celulósico. Os</w:t>
                  </w:r>
                  <w:r w:rsidRPr="00064919">
                    <w:rPr>
                      <w:rFonts w:ascii="Times New Roman" w:hAnsi="Times New Roman" w:cs="Times New Roman"/>
                      <w:sz w:val="24"/>
                      <w:szCs w:val="24"/>
                    </w:rPr>
                    <w:t xml:space="preserve"> de terceira geração fariam referência a rotas de produção cujo estágio de pesquisa e desenvolvimento ainda é muito incipiente, como é o caso dos biocombustíveis produzidos a partir de algas. </w:t>
                  </w:r>
                </w:p>
                <w:p w:rsidR="00A57446" w:rsidRDefault="00A57446" w:rsidP="00AC14AC">
                  <w:pPr>
                    <w:spacing w:line="360" w:lineRule="auto"/>
                    <w:ind w:firstLine="708"/>
                    <w:rPr>
                      <w:rFonts w:ascii="Times New Roman" w:hAnsi="Times New Roman" w:cs="Times New Roman"/>
                      <w:sz w:val="24"/>
                      <w:szCs w:val="24"/>
                    </w:rPr>
                  </w:pPr>
                  <w:r>
                    <w:rPr>
                      <w:rFonts w:ascii="Times New Roman" w:hAnsi="Times New Roman" w:cs="Times New Roman"/>
                      <w:sz w:val="24"/>
                      <w:szCs w:val="24"/>
                    </w:rPr>
                    <w:t>A fim de evitar dúvidas com relação às gerações dos biocombustíveis, adotaremos neste trabalho a nomenclatura empregada pela</w:t>
                  </w:r>
                  <w:r w:rsidRPr="004B779D">
                    <w:rPr>
                      <w:rFonts w:ascii="Times New Roman" w:hAnsi="Times New Roman" w:cs="Times New Roman"/>
                      <w:sz w:val="24"/>
                      <w:szCs w:val="24"/>
                    </w:rPr>
                    <w:t xml:space="preserve"> Agência</w:t>
                  </w:r>
                  <w:r>
                    <w:rPr>
                      <w:rFonts w:ascii="Times New Roman" w:hAnsi="Times New Roman" w:cs="Times New Roman"/>
                      <w:sz w:val="24"/>
                      <w:szCs w:val="24"/>
                    </w:rPr>
                    <w:t xml:space="preserve"> Internacional de Energia (AIE), com base na maturidade das </w:t>
                  </w:r>
                  <w:r w:rsidRPr="004B779D">
                    <w:rPr>
                      <w:rFonts w:ascii="Times New Roman" w:hAnsi="Times New Roman" w:cs="Times New Roman"/>
                      <w:sz w:val="24"/>
                      <w:szCs w:val="24"/>
                    </w:rPr>
                    <w:t>tecnologia</w:t>
                  </w:r>
                  <w:r>
                    <w:rPr>
                      <w:rFonts w:ascii="Times New Roman" w:hAnsi="Times New Roman" w:cs="Times New Roman"/>
                      <w:sz w:val="24"/>
                      <w:szCs w:val="24"/>
                    </w:rPr>
                    <w:t>s empregadas, que utiliza os termos “convencional”</w:t>
                  </w:r>
                  <w:r w:rsidRPr="004B779D">
                    <w:rPr>
                      <w:rFonts w:ascii="Times New Roman" w:hAnsi="Times New Roman" w:cs="Times New Roman"/>
                      <w:sz w:val="24"/>
                      <w:szCs w:val="24"/>
                    </w:rPr>
                    <w:t xml:space="preserve"> e</w:t>
                  </w:r>
                  <w:r>
                    <w:rPr>
                      <w:rFonts w:ascii="Times New Roman" w:hAnsi="Times New Roman" w:cs="Times New Roman"/>
                      <w:sz w:val="24"/>
                      <w:szCs w:val="24"/>
                    </w:rPr>
                    <w:t xml:space="preserve"> “avançado”</w:t>
                  </w:r>
                  <w:r w:rsidRPr="004B779D">
                    <w:rPr>
                      <w:rFonts w:ascii="Times New Roman" w:hAnsi="Times New Roman" w:cs="Times New Roman"/>
                      <w:sz w:val="24"/>
                      <w:szCs w:val="24"/>
                    </w:rPr>
                    <w:t xml:space="preserve">. </w:t>
                  </w:r>
                  <w:r>
                    <w:rPr>
                      <w:rFonts w:ascii="Times New Roman" w:hAnsi="Times New Roman" w:cs="Times New Roman"/>
                      <w:sz w:val="24"/>
                      <w:szCs w:val="24"/>
                    </w:rPr>
                    <w:t>As t</w:t>
                  </w:r>
                  <w:r w:rsidRPr="004B779D">
                    <w:rPr>
                      <w:rFonts w:ascii="Times New Roman" w:hAnsi="Times New Roman" w:cs="Times New Roman"/>
                      <w:sz w:val="24"/>
                      <w:szCs w:val="24"/>
                    </w:rPr>
                    <w:t xml:space="preserve">ecnologias convencionais de biocombustíveis incluem processos bem estabelecidos que </w:t>
                  </w:r>
                  <w:r>
                    <w:rPr>
                      <w:rFonts w:ascii="Times New Roman" w:hAnsi="Times New Roman" w:cs="Times New Roman"/>
                      <w:sz w:val="24"/>
                      <w:szCs w:val="24"/>
                    </w:rPr>
                    <w:t>produzem</w:t>
                  </w:r>
                  <w:r w:rsidRPr="004B779D">
                    <w:rPr>
                      <w:rFonts w:ascii="Times New Roman" w:hAnsi="Times New Roman" w:cs="Times New Roman"/>
                      <w:sz w:val="24"/>
                      <w:szCs w:val="24"/>
                    </w:rPr>
                    <w:t xml:space="preserve"> biocombustíveis em escala comercial. </w:t>
                  </w:r>
                  <w:r>
                    <w:rPr>
                      <w:rFonts w:ascii="Times New Roman" w:hAnsi="Times New Roman" w:cs="Times New Roman"/>
                      <w:sz w:val="24"/>
                      <w:szCs w:val="24"/>
                    </w:rPr>
                    <w:t xml:space="preserve">Em geral, estes biocombustíveis são os denominados </w:t>
                  </w:r>
                  <w:r w:rsidRPr="004B779D">
                    <w:rPr>
                      <w:rFonts w:ascii="Times New Roman" w:hAnsi="Times New Roman" w:cs="Times New Roman"/>
                      <w:sz w:val="24"/>
                      <w:szCs w:val="24"/>
                    </w:rPr>
                    <w:t xml:space="preserve">de </w:t>
                  </w:r>
                  <w:r>
                    <w:rPr>
                      <w:rFonts w:ascii="Times New Roman" w:hAnsi="Times New Roman" w:cs="Times New Roman"/>
                      <w:sz w:val="24"/>
                      <w:szCs w:val="24"/>
                    </w:rPr>
                    <w:t>“</w:t>
                  </w:r>
                  <w:r w:rsidRPr="004B779D">
                    <w:rPr>
                      <w:rFonts w:ascii="Times New Roman" w:hAnsi="Times New Roman" w:cs="Times New Roman"/>
                      <w:sz w:val="24"/>
                      <w:szCs w:val="24"/>
                    </w:rPr>
                    <w:t>primeira geração</w:t>
                  </w:r>
                  <w:r>
                    <w:rPr>
                      <w:rFonts w:ascii="Times New Roman" w:hAnsi="Times New Roman" w:cs="Times New Roman"/>
                      <w:sz w:val="24"/>
                      <w:szCs w:val="24"/>
                    </w:rPr>
                    <w:t>”, incluindo o</w:t>
                  </w:r>
                  <w:r w:rsidRPr="004B779D">
                    <w:rPr>
                      <w:rFonts w:ascii="Times New Roman" w:hAnsi="Times New Roman" w:cs="Times New Roman"/>
                      <w:sz w:val="24"/>
                      <w:szCs w:val="24"/>
                    </w:rPr>
                    <w:t xml:space="preserve"> etanol</w:t>
                  </w:r>
                  <w:r>
                    <w:rPr>
                      <w:rFonts w:ascii="Times New Roman" w:hAnsi="Times New Roman" w:cs="Times New Roman"/>
                      <w:sz w:val="24"/>
                      <w:szCs w:val="24"/>
                    </w:rPr>
                    <w:t xml:space="preserve"> de cana-de-açúcar e</w:t>
                  </w:r>
                  <w:r w:rsidRPr="004B779D">
                    <w:rPr>
                      <w:rFonts w:ascii="Times New Roman" w:hAnsi="Times New Roman" w:cs="Times New Roman"/>
                      <w:sz w:val="24"/>
                      <w:szCs w:val="24"/>
                    </w:rPr>
                    <w:t xml:space="preserve"> à </w:t>
                  </w:r>
                  <w:r>
                    <w:rPr>
                      <w:rFonts w:ascii="Times New Roman" w:hAnsi="Times New Roman" w:cs="Times New Roman"/>
                      <w:sz w:val="24"/>
                      <w:szCs w:val="24"/>
                    </w:rPr>
                    <w:t>base de amido, biodiesel produzido a partir de</w:t>
                  </w:r>
                  <w:r w:rsidRPr="004B779D">
                    <w:rPr>
                      <w:rFonts w:ascii="Times New Roman" w:hAnsi="Times New Roman" w:cs="Times New Roman"/>
                      <w:sz w:val="24"/>
                      <w:szCs w:val="24"/>
                    </w:rPr>
                    <w:t xml:space="preserve"> óleo</w:t>
                  </w:r>
                  <w:r>
                    <w:rPr>
                      <w:rFonts w:ascii="Times New Roman" w:hAnsi="Times New Roman" w:cs="Times New Roman"/>
                      <w:sz w:val="24"/>
                      <w:szCs w:val="24"/>
                    </w:rPr>
                    <w:t>s vegetais</w:t>
                  </w:r>
                  <w:r w:rsidRPr="004B779D">
                    <w:rPr>
                      <w:rFonts w:ascii="Times New Roman" w:hAnsi="Times New Roman" w:cs="Times New Roman"/>
                      <w:sz w:val="24"/>
                      <w:szCs w:val="24"/>
                    </w:rPr>
                    <w:t xml:space="preserve">, bem como </w:t>
                  </w:r>
                  <w:r>
                    <w:rPr>
                      <w:rFonts w:ascii="Times New Roman" w:hAnsi="Times New Roman" w:cs="Times New Roman"/>
                      <w:sz w:val="24"/>
                      <w:szCs w:val="24"/>
                    </w:rPr>
                    <w:t>o biogás produzido em</w:t>
                  </w:r>
                  <w:r w:rsidRPr="004B779D">
                    <w:rPr>
                      <w:rFonts w:ascii="Times New Roman" w:hAnsi="Times New Roman" w:cs="Times New Roman"/>
                      <w:sz w:val="24"/>
                      <w:szCs w:val="24"/>
                    </w:rPr>
                    <w:t xml:space="preserve"> digestão ana</w:t>
                  </w:r>
                  <w:r>
                    <w:rPr>
                      <w:rFonts w:ascii="Times New Roman" w:hAnsi="Times New Roman" w:cs="Times New Roman"/>
                      <w:sz w:val="24"/>
                      <w:szCs w:val="24"/>
                    </w:rPr>
                    <w:t>eróbica.</w:t>
                  </w:r>
                  <w:r w:rsidRPr="00AC14AC">
                    <w:t xml:space="preserve"> </w:t>
                  </w:r>
                  <w:r w:rsidRPr="00AC14AC">
                    <w:rPr>
                      <w:rFonts w:ascii="Times New Roman" w:hAnsi="Times New Roman" w:cs="Times New Roman"/>
                      <w:sz w:val="24"/>
                      <w:szCs w:val="24"/>
                    </w:rPr>
                    <w:t>Tecnologias avançadas de conversão de biocombustíveis são aquelas que ainda estão em fase piloto ou de demonstração, também denominadas tecnologias de segunda ou terceira geração. Esta categoria inclui os biocombustíveis lignocelulósicas com base na biomas</w:t>
                  </w:r>
                  <w:r>
                    <w:rPr>
                      <w:rFonts w:ascii="Times New Roman" w:hAnsi="Times New Roman" w:cs="Times New Roman"/>
                      <w:sz w:val="24"/>
                      <w:szCs w:val="24"/>
                    </w:rPr>
                    <w:t>sa, etanol celulósico, rot</w:t>
                  </w:r>
                  <w:r w:rsidRPr="00AC14AC">
                    <w:rPr>
                      <w:rFonts w:ascii="Times New Roman" w:hAnsi="Times New Roman" w:cs="Times New Roman"/>
                      <w:sz w:val="24"/>
                      <w:szCs w:val="24"/>
                    </w:rPr>
                    <w:t xml:space="preserve">a </w:t>
                  </w:r>
                  <w:r w:rsidRPr="00633933">
                    <w:rPr>
                      <w:rFonts w:ascii="Times New Roman" w:hAnsi="Times New Roman" w:cs="Times New Roman"/>
                      <w:i/>
                      <w:sz w:val="24"/>
                      <w:szCs w:val="24"/>
                    </w:rPr>
                    <w:t>Biomass-to-liquids</w:t>
                  </w:r>
                  <w:r w:rsidRPr="00AC14AC">
                    <w:rPr>
                      <w:rFonts w:ascii="Times New Roman" w:hAnsi="Times New Roman" w:cs="Times New Roman"/>
                      <w:sz w:val="24"/>
                      <w:szCs w:val="24"/>
                    </w:rPr>
                    <w:t xml:space="preserve"> (BTL), biocombustíveis à base de algas e conversão de açúcar em biohidrocarbonetos que utilizam catalisadores químicos ou biológicos.</w:t>
                  </w:r>
                </w:p>
                <w:p w:rsidR="00A57446" w:rsidRDefault="00A57446" w:rsidP="00633933">
                  <w:pPr>
                    <w:spacing w:line="360" w:lineRule="auto"/>
                    <w:ind w:firstLine="708"/>
                    <w:rPr>
                      <w:rFonts w:ascii="Times New Roman" w:hAnsi="Times New Roman" w:cs="Times New Roman"/>
                      <w:sz w:val="24"/>
                      <w:szCs w:val="24"/>
                    </w:rPr>
                  </w:pPr>
                  <w:r w:rsidRPr="004B779D">
                    <w:rPr>
                      <w:rFonts w:ascii="Times New Roman" w:hAnsi="Times New Roman" w:cs="Times New Roman"/>
                      <w:sz w:val="24"/>
                      <w:szCs w:val="24"/>
                    </w:rPr>
                    <w:t xml:space="preserve">É </w:t>
                  </w:r>
                  <w:r>
                    <w:rPr>
                      <w:rFonts w:ascii="Times New Roman" w:hAnsi="Times New Roman" w:cs="Times New Roman"/>
                      <w:sz w:val="24"/>
                      <w:szCs w:val="24"/>
                    </w:rPr>
                    <w:t xml:space="preserve">importante notar que, em termos de ciclo de vida, </w:t>
                  </w:r>
                  <w:r w:rsidRPr="004B779D">
                    <w:rPr>
                      <w:rFonts w:ascii="Times New Roman" w:hAnsi="Times New Roman" w:cs="Times New Roman"/>
                      <w:sz w:val="24"/>
                      <w:szCs w:val="24"/>
                    </w:rPr>
                    <w:t xml:space="preserve">alguns biocombustíveis avançados </w:t>
                  </w:r>
                  <w:r>
                    <w:rPr>
                      <w:rFonts w:ascii="Times New Roman" w:hAnsi="Times New Roman" w:cs="Times New Roman"/>
                      <w:sz w:val="24"/>
                      <w:szCs w:val="24"/>
                    </w:rPr>
                    <w:t xml:space="preserve">podem gerar níveis mais elevados </w:t>
                  </w:r>
                  <w:r w:rsidRPr="004B779D">
                    <w:rPr>
                      <w:rFonts w:ascii="Times New Roman" w:hAnsi="Times New Roman" w:cs="Times New Roman"/>
                      <w:sz w:val="24"/>
                      <w:szCs w:val="24"/>
                    </w:rPr>
                    <w:t>de emissões de GEE e impac</w:t>
                  </w:r>
                  <w:r>
                    <w:rPr>
                      <w:rFonts w:ascii="Times New Roman" w:hAnsi="Times New Roman" w:cs="Times New Roman"/>
                      <w:sz w:val="24"/>
                      <w:szCs w:val="24"/>
                    </w:rPr>
                    <w:t>tos negativos sobre uso da terra e</w:t>
                  </w:r>
                  <w:r w:rsidRPr="004B779D">
                    <w:rPr>
                      <w:rFonts w:ascii="Times New Roman" w:hAnsi="Times New Roman" w:cs="Times New Roman"/>
                      <w:sz w:val="24"/>
                      <w:szCs w:val="24"/>
                    </w:rPr>
                    <w:t xml:space="preserve"> água</w:t>
                  </w:r>
                  <w:r>
                    <w:rPr>
                      <w:rFonts w:ascii="Times New Roman" w:hAnsi="Times New Roman" w:cs="Times New Roman"/>
                      <w:sz w:val="24"/>
                      <w:szCs w:val="24"/>
                    </w:rPr>
                    <w:t>,</w:t>
                  </w:r>
                  <w:r w:rsidRPr="004B779D">
                    <w:rPr>
                      <w:rFonts w:ascii="Times New Roman" w:hAnsi="Times New Roman" w:cs="Times New Roman"/>
                      <w:sz w:val="24"/>
                      <w:szCs w:val="24"/>
                    </w:rPr>
                    <w:t xml:space="preserve"> do que</w:t>
                  </w:r>
                  <w:r>
                    <w:rPr>
                      <w:rFonts w:ascii="Times New Roman" w:hAnsi="Times New Roman" w:cs="Times New Roman"/>
                      <w:sz w:val="24"/>
                      <w:szCs w:val="24"/>
                    </w:rPr>
                    <w:t xml:space="preserve"> alguns</w:t>
                  </w:r>
                  <w:r w:rsidRPr="004B779D">
                    <w:rPr>
                      <w:rFonts w:ascii="Times New Roman" w:hAnsi="Times New Roman" w:cs="Times New Roman"/>
                      <w:sz w:val="24"/>
                      <w:szCs w:val="24"/>
                    </w:rPr>
                    <w:t xml:space="preserve"> biocombustíveis </w:t>
                  </w:r>
                  <w:r>
                    <w:rPr>
                      <w:rFonts w:ascii="Times New Roman" w:hAnsi="Times New Roman" w:cs="Times New Roman"/>
                      <w:sz w:val="24"/>
                      <w:szCs w:val="24"/>
                    </w:rPr>
                    <w:t>considerados convencionais.</w:t>
                  </w:r>
                  <w:r w:rsidRPr="00064919">
                    <w:rPr>
                      <w:rFonts w:ascii="Times New Roman" w:hAnsi="Times New Roman" w:cs="Times New Roman"/>
                      <w:sz w:val="24"/>
                      <w:szCs w:val="24"/>
                    </w:rPr>
                    <w:t xml:space="preserve"> Neste trabalho, utilizaremos apenas a nomenclatura “convencional” para etanol e biodiesel produzidos com tecnologias maduras e “avançados” para os que envolvem novas rotas de produção, matérias-primas e produtos</w:t>
                  </w:r>
                  <w:r>
                    <w:rPr>
                      <w:rFonts w:ascii="Times New Roman" w:hAnsi="Times New Roman" w:cs="Times New Roman"/>
                      <w:sz w:val="24"/>
                      <w:szCs w:val="24"/>
                    </w:rPr>
                    <w:t xml:space="preserve"> (GSI; IISD, 2012)</w:t>
                  </w:r>
                  <w:r w:rsidRPr="00064919">
                    <w:rPr>
                      <w:rFonts w:ascii="Times New Roman" w:hAnsi="Times New Roman" w:cs="Times New Roman"/>
                      <w:sz w:val="24"/>
                      <w:szCs w:val="24"/>
                    </w:rPr>
                    <w:t>.</w:t>
                  </w:r>
                </w:p>
                <w:p w:rsidR="00A57446" w:rsidRDefault="00A57446" w:rsidP="00633933">
                  <w:pPr>
                    <w:spacing w:line="360" w:lineRule="auto"/>
                    <w:rPr>
                      <w:rFonts w:ascii="Times New Roman" w:hAnsi="Times New Roman" w:cs="Times New Roman"/>
                      <w:sz w:val="24"/>
                      <w:szCs w:val="24"/>
                    </w:rPr>
                  </w:pPr>
                </w:p>
              </w:txbxContent>
            </v:textbox>
          </v:shape>
        </w:pict>
      </w:r>
    </w:p>
    <w:p w:rsidR="004B779D" w:rsidRDefault="004B779D" w:rsidP="00C6573C">
      <w:pPr>
        <w:spacing w:line="360" w:lineRule="auto"/>
        <w:ind w:firstLine="708"/>
        <w:rPr>
          <w:rFonts w:ascii="Times New Roman" w:hAnsi="Times New Roman" w:cs="Times New Roman"/>
          <w:sz w:val="24"/>
          <w:szCs w:val="24"/>
        </w:rPr>
      </w:pPr>
    </w:p>
    <w:p w:rsidR="004B779D" w:rsidRDefault="004B779D" w:rsidP="00C6573C">
      <w:pPr>
        <w:spacing w:line="360" w:lineRule="auto"/>
        <w:ind w:firstLine="708"/>
        <w:rPr>
          <w:rFonts w:ascii="Times New Roman" w:hAnsi="Times New Roman" w:cs="Times New Roman"/>
          <w:sz w:val="24"/>
          <w:szCs w:val="24"/>
        </w:rPr>
      </w:pPr>
    </w:p>
    <w:p w:rsidR="004B779D" w:rsidRDefault="004B779D" w:rsidP="00C6573C">
      <w:pPr>
        <w:spacing w:line="360" w:lineRule="auto"/>
        <w:ind w:firstLine="708"/>
        <w:rPr>
          <w:rFonts w:ascii="Times New Roman" w:hAnsi="Times New Roman" w:cs="Times New Roman"/>
          <w:sz w:val="24"/>
          <w:szCs w:val="24"/>
        </w:rPr>
      </w:pPr>
    </w:p>
    <w:p w:rsidR="004B779D" w:rsidRDefault="004B779D" w:rsidP="00C6573C">
      <w:pPr>
        <w:spacing w:line="360" w:lineRule="auto"/>
        <w:ind w:firstLine="708"/>
        <w:rPr>
          <w:rFonts w:ascii="Times New Roman" w:hAnsi="Times New Roman" w:cs="Times New Roman"/>
          <w:sz w:val="24"/>
          <w:szCs w:val="24"/>
        </w:rPr>
      </w:pPr>
    </w:p>
    <w:p w:rsidR="004B779D" w:rsidRDefault="004B779D" w:rsidP="00C6573C">
      <w:pPr>
        <w:spacing w:line="360" w:lineRule="auto"/>
        <w:ind w:firstLine="708"/>
        <w:rPr>
          <w:rFonts w:ascii="Times New Roman" w:hAnsi="Times New Roman" w:cs="Times New Roman"/>
          <w:sz w:val="24"/>
          <w:szCs w:val="24"/>
        </w:rPr>
      </w:pPr>
    </w:p>
    <w:p w:rsidR="004B779D" w:rsidRDefault="004B779D" w:rsidP="00C6573C">
      <w:pPr>
        <w:spacing w:line="360" w:lineRule="auto"/>
        <w:ind w:firstLine="708"/>
        <w:rPr>
          <w:rFonts w:ascii="Times New Roman" w:hAnsi="Times New Roman" w:cs="Times New Roman"/>
          <w:sz w:val="24"/>
          <w:szCs w:val="24"/>
        </w:rPr>
      </w:pPr>
    </w:p>
    <w:p w:rsidR="004B779D" w:rsidRDefault="004B779D" w:rsidP="00C6573C">
      <w:pPr>
        <w:spacing w:line="360" w:lineRule="auto"/>
        <w:ind w:firstLine="708"/>
        <w:rPr>
          <w:rFonts w:ascii="Times New Roman" w:hAnsi="Times New Roman" w:cs="Times New Roman"/>
          <w:sz w:val="24"/>
          <w:szCs w:val="24"/>
        </w:rPr>
      </w:pPr>
    </w:p>
    <w:p w:rsidR="004B779D" w:rsidRDefault="004B779D" w:rsidP="00C6573C">
      <w:pPr>
        <w:spacing w:line="360" w:lineRule="auto"/>
        <w:ind w:firstLine="708"/>
        <w:rPr>
          <w:rFonts w:ascii="Times New Roman" w:hAnsi="Times New Roman" w:cs="Times New Roman"/>
          <w:sz w:val="24"/>
          <w:szCs w:val="24"/>
        </w:rPr>
      </w:pPr>
    </w:p>
    <w:p w:rsidR="004B779D" w:rsidRDefault="004B779D" w:rsidP="00C6573C">
      <w:pPr>
        <w:spacing w:line="360" w:lineRule="auto"/>
        <w:ind w:firstLine="708"/>
        <w:rPr>
          <w:rFonts w:ascii="Times New Roman" w:hAnsi="Times New Roman" w:cs="Times New Roman"/>
          <w:sz w:val="24"/>
          <w:szCs w:val="24"/>
        </w:rPr>
      </w:pPr>
    </w:p>
    <w:p w:rsidR="004B779D" w:rsidRDefault="004B779D" w:rsidP="00C6573C">
      <w:pPr>
        <w:spacing w:line="360" w:lineRule="auto"/>
        <w:ind w:firstLine="708"/>
        <w:rPr>
          <w:rFonts w:ascii="Times New Roman" w:hAnsi="Times New Roman" w:cs="Times New Roman"/>
          <w:sz w:val="24"/>
          <w:szCs w:val="24"/>
        </w:rPr>
      </w:pPr>
    </w:p>
    <w:p w:rsidR="004B779D" w:rsidRDefault="004B779D" w:rsidP="00C6573C">
      <w:pPr>
        <w:spacing w:line="360" w:lineRule="auto"/>
        <w:ind w:firstLine="708"/>
        <w:rPr>
          <w:rFonts w:ascii="Times New Roman" w:hAnsi="Times New Roman" w:cs="Times New Roman"/>
          <w:sz w:val="24"/>
          <w:szCs w:val="24"/>
        </w:rPr>
      </w:pPr>
    </w:p>
    <w:p w:rsidR="004B779D" w:rsidRDefault="004B779D" w:rsidP="00C6573C">
      <w:pPr>
        <w:spacing w:line="360" w:lineRule="auto"/>
        <w:ind w:firstLine="708"/>
        <w:rPr>
          <w:rFonts w:ascii="Times New Roman" w:hAnsi="Times New Roman" w:cs="Times New Roman"/>
          <w:sz w:val="24"/>
          <w:szCs w:val="24"/>
        </w:rPr>
      </w:pPr>
    </w:p>
    <w:p w:rsidR="004B779D" w:rsidRDefault="004B779D" w:rsidP="00C6573C">
      <w:pPr>
        <w:spacing w:line="360" w:lineRule="auto"/>
        <w:ind w:firstLine="708"/>
        <w:rPr>
          <w:rFonts w:ascii="Times New Roman" w:hAnsi="Times New Roman" w:cs="Times New Roman"/>
          <w:sz w:val="24"/>
          <w:szCs w:val="24"/>
        </w:rPr>
      </w:pPr>
    </w:p>
    <w:p w:rsidR="001D3C4C" w:rsidRDefault="001D3C4C" w:rsidP="00C6573C">
      <w:pPr>
        <w:spacing w:line="360" w:lineRule="auto"/>
        <w:ind w:firstLine="708"/>
        <w:rPr>
          <w:rFonts w:ascii="Times New Roman" w:hAnsi="Times New Roman" w:cs="Times New Roman"/>
          <w:sz w:val="24"/>
          <w:szCs w:val="24"/>
        </w:rPr>
      </w:pPr>
    </w:p>
    <w:p w:rsidR="001D3C4C" w:rsidRDefault="001D3C4C" w:rsidP="00C6573C">
      <w:pPr>
        <w:spacing w:line="360" w:lineRule="auto"/>
        <w:ind w:firstLine="708"/>
        <w:rPr>
          <w:rFonts w:ascii="Times New Roman" w:hAnsi="Times New Roman" w:cs="Times New Roman"/>
          <w:sz w:val="24"/>
          <w:szCs w:val="24"/>
        </w:rPr>
      </w:pPr>
    </w:p>
    <w:p w:rsidR="001D3C4C" w:rsidRDefault="001D3C4C" w:rsidP="00C6573C">
      <w:pPr>
        <w:spacing w:line="360" w:lineRule="auto"/>
        <w:ind w:firstLine="708"/>
        <w:rPr>
          <w:rFonts w:ascii="Times New Roman" w:hAnsi="Times New Roman" w:cs="Times New Roman"/>
          <w:sz w:val="24"/>
          <w:szCs w:val="24"/>
        </w:rPr>
      </w:pPr>
    </w:p>
    <w:p w:rsidR="001D3C4C" w:rsidRDefault="001D3C4C" w:rsidP="00C6573C">
      <w:pPr>
        <w:spacing w:line="360" w:lineRule="auto"/>
        <w:ind w:firstLine="708"/>
        <w:rPr>
          <w:rFonts w:ascii="Times New Roman" w:hAnsi="Times New Roman" w:cs="Times New Roman"/>
          <w:sz w:val="24"/>
          <w:szCs w:val="24"/>
        </w:rPr>
      </w:pPr>
    </w:p>
    <w:p w:rsidR="001D3C4C" w:rsidRDefault="001D3C4C" w:rsidP="00C6573C">
      <w:pPr>
        <w:spacing w:line="360" w:lineRule="auto"/>
        <w:ind w:firstLine="708"/>
        <w:rPr>
          <w:rFonts w:ascii="Times New Roman" w:hAnsi="Times New Roman" w:cs="Times New Roman"/>
          <w:sz w:val="24"/>
          <w:szCs w:val="24"/>
        </w:rPr>
      </w:pPr>
    </w:p>
    <w:p w:rsidR="001D3C4C" w:rsidRDefault="001D3C4C" w:rsidP="00C6573C">
      <w:pPr>
        <w:spacing w:line="360" w:lineRule="auto"/>
        <w:ind w:firstLine="708"/>
        <w:rPr>
          <w:rFonts w:ascii="Times New Roman" w:hAnsi="Times New Roman" w:cs="Times New Roman"/>
          <w:sz w:val="24"/>
          <w:szCs w:val="24"/>
        </w:rPr>
      </w:pPr>
    </w:p>
    <w:p w:rsidR="001D3C4C" w:rsidRDefault="001D3C4C" w:rsidP="00C6573C">
      <w:pPr>
        <w:spacing w:line="360" w:lineRule="auto"/>
        <w:ind w:firstLine="708"/>
        <w:rPr>
          <w:rFonts w:ascii="Times New Roman" w:hAnsi="Times New Roman" w:cs="Times New Roman"/>
          <w:sz w:val="24"/>
          <w:szCs w:val="24"/>
        </w:rPr>
      </w:pPr>
    </w:p>
    <w:p w:rsidR="001D3C4C" w:rsidRDefault="001D3C4C" w:rsidP="00C6573C">
      <w:pPr>
        <w:spacing w:line="360" w:lineRule="auto"/>
        <w:ind w:firstLine="708"/>
        <w:rPr>
          <w:rFonts w:ascii="Times New Roman" w:hAnsi="Times New Roman" w:cs="Times New Roman"/>
          <w:sz w:val="24"/>
          <w:szCs w:val="24"/>
        </w:rPr>
      </w:pPr>
    </w:p>
    <w:p w:rsidR="001D3C4C" w:rsidRDefault="001D3C4C" w:rsidP="00C6573C">
      <w:pPr>
        <w:spacing w:line="360" w:lineRule="auto"/>
        <w:ind w:firstLine="708"/>
        <w:rPr>
          <w:rFonts w:ascii="Times New Roman" w:hAnsi="Times New Roman" w:cs="Times New Roman"/>
          <w:sz w:val="24"/>
          <w:szCs w:val="24"/>
        </w:rPr>
      </w:pPr>
    </w:p>
    <w:p w:rsidR="001D3C4C" w:rsidRDefault="001D3C4C" w:rsidP="00C6573C">
      <w:pPr>
        <w:spacing w:line="360" w:lineRule="auto"/>
        <w:ind w:firstLine="708"/>
        <w:rPr>
          <w:rFonts w:ascii="Times New Roman" w:hAnsi="Times New Roman" w:cs="Times New Roman"/>
          <w:sz w:val="24"/>
          <w:szCs w:val="24"/>
        </w:rPr>
      </w:pPr>
    </w:p>
    <w:p w:rsidR="001D3C4C" w:rsidRDefault="001D3C4C" w:rsidP="00C6573C">
      <w:pPr>
        <w:spacing w:line="360" w:lineRule="auto"/>
        <w:ind w:firstLine="708"/>
        <w:rPr>
          <w:rFonts w:ascii="Times New Roman" w:hAnsi="Times New Roman" w:cs="Times New Roman"/>
          <w:sz w:val="24"/>
          <w:szCs w:val="24"/>
        </w:rPr>
      </w:pPr>
    </w:p>
    <w:p w:rsidR="001D3C4C" w:rsidRDefault="001D3C4C" w:rsidP="00C6573C">
      <w:pPr>
        <w:spacing w:line="360" w:lineRule="auto"/>
        <w:ind w:firstLine="708"/>
        <w:rPr>
          <w:rFonts w:ascii="Times New Roman" w:hAnsi="Times New Roman" w:cs="Times New Roman"/>
          <w:sz w:val="24"/>
          <w:szCs w:val="24"/>
        </w:rPr>
      </w:pPr>
    </w:p>
    <w:p w:rsidR="001D3C4C" w:rsidRDefault="001D3C4C" w:rsidP="00C6573C">
      <w:pPr>
        <w:spacing w:line="360" w:lineRule="auto"/>
        <w:ind w:firstLine="708"/>
        <w:rPr>
          <w:rFonts w:ascii="Times New Roman" w:hAnsi="Times New Roman" w:cs="Times New Roman"/>
          <w:sz w:val="24"/>
          <w:szCs w:val="24"/>
        </w:rPr>
      </w:pPr>
    </w:p>
    <w:p w:rsidR="001D3C4C" w:rsidRDefault="001D3C4C" w:rsidP="00C6573C">
      <w:pPr>
        <w:spacing w:line="360" w:lineRule="auto"/>
        <w:ind w:firstLine="708"/>
        <w:rPr>
          <w:rFonts w:ascii="Times New Roman" w:hAnsi="Times New Roman" w:cs="Times New Roman"/>
          <w:sz w:val="24"/>
          <w:szCs w:val="24"/>
        </w:rPr>
      </w:pPr>
    </w:p>
    <w:p w:rsidR="00633933" w:rsidRDefault="00633933" w:rsidP="00633933">
      <w:pPr>
        <w:spacing w:line="360" w:lineRule="auto"/>
        <w:ind w:firstLine="708"/>
        <w:rPr>
          <w:rFonts w:ascii="Times New Roman" w:hAnsi="Times New Roman" w:cs="Times New Roman"/>
          <w:sz w:val="24"/>
          <w:szCs w:val="24"/>
        </w:rPr>
      </w:pPr>
    </w:p>
    <w:p w:rsidR="00C6573C" w:rsidRPr="00036EF7" w:rsidRDefault="00C6573C" w:rsidP="00633933">
      <w:pPr>
        <w:spacing w:line="360" w:lineRule="auto"/>
        <w:ind w:firstLine="708"/>
        <w:rPr>
          <w:rFonts w:ascii="Times New Roman" w:hAnsi="Times New Roman" w:cs="Times New Roman"/>
          <w:color w:val="FF0000"/>
          <w:sz w:val="24"/>
          <w:szCs w:val="24"/>
          <w:lang w:val="pt-PT"/>
        </w:rPr>
      </w:pPr>
      <w:r w:rsidRPr="00EB3034">
        <w:rPr>
          <w:rFonts w:ascii="Times New Roman" w:hAnsi="Times New Roman" w:cs="Times New Roman"/>
          <w:sz w:val="24"/>
          <w:szCs w:val="24"/>
        </w:rPr>
        <w:t>As tecnologias industriais para conversão de açúcares e amido em etanol, assim como o processo de transesterificação que converte os óleos vegetais e a gordura animal em biodiesel, podem ser consideradas maduras e</w:t>
      </w:r>
      <w:r>
        <w:rPr>
          <w:rFonts w:ascii="Times New Roman" w:hAnsi="Times New Roman" w:cs="Times New Roman"/>
          <w:sz w:val="24"/>
          <w:szCs w:val="24"/>
        </w:rPr>
        <w:t xml:space="preserve"> amplamente</w:t>
      </w:r>
      <w:r w:rsidRPr="00EB3034">
        <w:rPr>
          <w:rFonts w:ascii="Times New Roman" w:hAnsi="Times New Roman" w:cs="Times New Roman"/>
          <w:sz w:val="24"/>
          <w:szCs w:val="24"/>
        </w:rPr>
        <w:t xml:space="preserve"> disponíveis</w:t>
      </w:r>
      <w:r>
        <w:rPr>
          <w:rFonts w:ascii="Times New Roman" w:hAnsi="Times New Roman" w:cs="Times New Roman"/>
          <w:sz w:val="24"/>
          <w:szCs w:val="24"/>
        </w:rPr>
        <w:t xml:space="preserve"> (BOMTEMPO, 2009)</w:t>
      </w:r>
      <w:r w:rsidRPr="00EB3034">
        <w:rPr>
          <w:rFonts w:ascii="Times New Roman" w:hAnsi="Times New Roman" w:cs="Times New Roman"/>
          <w:sz w:val="24"/>
          <w:szCs w:val="24"/>
        </w:rPr>
        <w:t>. Máquinas e equipamentos são adquiridos junto</w:t>
      </w:r>
      <w:r>
        <w:rPr>
          <w:rFonts w:ascii="Times New Roman" w:hAnsi="Times New Roman" w:cs="Times New Roman"/>
          <w:sz w:val="24"/>
          <w:szCs w:val="24"/>
        </w:rPr>
        <w:t xml:space="preserve"> a fornecedores especializados, sendo</w:t>
      </w:r>
      <w:r w:rsidRPr="00EB3034">
        <w:rPr>
          <w:rFonts w:ascii="Times New Roman" w:hAnsi="Times New Roman" w:cs="Times New Roman"/>
          <w:sz w:val="24"/>
          <w:szCs w:val="24"/>
        </w:rPr>
        <w:t xml:space="preserve"> a principal fonte de inovação, além daquelas relacionadas a aumento da produtividade agrícola</w:t>
      </w:r>
      <w:r>
        <w:rPr>
          <w:rFonts w:ascii="Times New Roman" w:hAnsi="Times New Roman" w:cs="Times New Roman"/>
          <w:color w:val="000000" w:themeColor="text1"/>
          <w:sz w:val="24"/>
          <w:szCs w:val="24"/>
        </w:rPr>
        <w:t xml:space="preserve">. </w:t>
      </w: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lang w:val="pt-PT"/>
        </w:rPr>
        <w:lastRenderedPageBreak/>
        <w:t>Quanto à localização, a</w:t>
      </w:r>
      <w:r>
        <w:rPr>
          <w:rFonts w:ascii="Times New Roman" w:hAnsi="Times New Roman" w:cs="Times New Roman"/>
          <w:sz w:val="24"/>
          <w:szCs w:val="24"/>
        </w:rPr>
        <w:t xml:space="preserve"> produção mundial de biocombustíveis se encontra concentrada em três grandes regiões: Estados Unidos, Brasil e União Europeia, porém somente Estados Unidos e Brasil foram responsáveis, respectivamente, por 53,5% e 23,8% da produção total em 2011 (MME, 2012). Isso porque o etanol é o biocombustível que lidera o segmento, correspondendo a 82% do volume global de 2010. Com menor participação, o biodiesel tem sua produção concentrada na União Europeia, que foi responsável por 49% da produção mundial (PIKE RESEARCH, 2011). Apesar de o consumo de biocombustíveis também se concentrar nessas três regiões, é esperada uma expansão expressiva nos países asiáticos nesta década e na próxima, sobretudo devido às medidas de segurança energética adotadas por China e Índia (AIE, 2010).</w:t>
      </w: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As próximas seções apresentam aspectos relevantes sobre a organização industrial da produção etanol e biodiesel, no mundo e no Brasil, tratando separadamente os dois segmentos, uma vez que se trata de estruturas de mercado bastante distintas entre si.</w:t>
      </w:r>
    </w:p>
    <w:p w:rsidR="00C6573C" w:rsidRPr="006E6C42" w:rsidRDefault="00C6573C" w:rsidP="00C6573C">
      <w:pPr>
        <w:spacing w:line="360" w:lineRule="auto"/>
        <w:ind w:firstLine="708"/>
        <w:rPr>
          <w:rFonts w:ascii="Times New Roman" w:hAnsi="Times New Roman" w:cs="Times New Roman"/>
          <w:sz w:val="24"/>
          <w:szCs w:val="24"/>
        </w:rPr>
      </w:pPr>
    </w:p>
    <w:p w:rsidR="00C6573C" w:rsidRPr="00740E2A" w:rsidRDefault="00C6573C" w:rsidP="00740E2A">
      <w:pPr>
        <w:pStyle w:val="Ttulo3"/>
      </w:pPr>
      <w:bookmarkStart w:id="19" w:name="_Toc330506334"/>
      <w:bookmarkStart w:id="20" w:name="_Toc333911342"/>
      <w:r w:rsidRPr="00740E2A">
        <w:t xml:space="preserve">2.1.1 </w:t>
      </w:r>
      <w:bookmarkEnd w:id="19"/>
      <w:r w:rsidRPr="00740E2A">
        <w:t>Estrutura atual da indústria de etanol</w:t>
      </w:r>
      <w:bookmarkEnd w:id="20"/>
    </w:p>
    <w:p w:rsidR="00C6573C" w:rsidRDefault="00C6573C" w:rsidP="00C6573C">
      <w:pPr>
        <w:spacing w:line="360" w:lineRule="auto"/>
        <w:rPr>
          <w:rFonts w:ascii="Times New Roman" w:hAnsi="Times New Roman" w:cs="Times New Roman"/>
          <w:sz w:val="24"/>
          <w:szCs w:val="24"/>
        </w:rPr>
      </w:pP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Atualmente, a produção mundial de etanol é liderada pelos Estados Unidos e Brasil, que respondem, respectivamente, por 63% e 26,5% do total (MME, 2012). Cabe mencionar que o mercado europeu, apesar de apresentar metas significativas de consumo de etanol, é muito mais dependente do diesel do que da gasolina, para a qual o etanol é um substituto ou aditivo (BOMTEMPO, 2009).</w:t>
      </w: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A estrutura industrial em cada um dos países, no entanto, é bastante diferente. O etanol norte-americano é produzido a partir do milho e teve sua produção impulsionada pelo EISA (</w:t>
      </w:r>
      <w:r w:rsidRPr="009D61CF">
        <w:rPr>
          <w:rFonts w:ascii="Times New Roman" w:hAnsi="Times New Roman" w:cs="Times New Roman"/>
          <w:i/>
          <w:sz w:val="24"/>
          <w:szCs w:val="24"/>
        </w:rPr>
        <w:t>Energy Independence and Security Act</w:t>
      </w:r>
      <w:r>
        <w:rPr>
          <w:rFonts w:ascii="Times New Roman" w:hAnsi="Times New Roman" w:cs="Times New Roman"/>
          <w:sz w:val="24"/>
          <w:szCs w:val="24"/>
        </w:rPr>
        <w:t xml:space="preserve">), sancionado em 2007. Apoiada em subsídios governamentais, a produção ultrapassou 53 bilhões de litros em 2011, o que representa 10% na oferta de combustíveis do país (RFA, 2012). </w:t>
      </w: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O etanol de milho apresenta um balanço energético pouco favorável quando comparado ao etanol de cana-de-açúcar. Macedo (2007) aponta que no primeiro caso, a relação entre a energia contida no biocombustível e energia consumida durante o processo produtivo equivale a 1,3, ao passo que no segundo, essa relação é de 8,9. Isso tem sido uma forte motivação para os elevados investimentos nos Estados Unidos para produção de biocombustíveis avançados que buscam viabilizar a utilização de materiais lignocelulósi</w:t>
      </w:r>
      <w:r w:rsidR="00F463E6">
        <w:rPr>
          <w:rFonts w:ascii="Times New Roman" w:hAnsi="Times New Roman" w:cs="Times New Roman"/>
          <w:sz w:val="24"/>
          <w:szCs w:val="24"/>
        </w:rPr>
        <w:t>cos como matéria-prima</w:t>
      </w:r>
      <w:r>
        <w:rPr>
          <w:rFonts w:ascii="Times New Roman" w:hAnsi="Times New Roman" w:cs="Times New Roman"/>
          <w:sz w:val="24"/>
          <w:szCs w:val="24"/>
        </w:rPr>
        <w:t>.</w:t>
      </w: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Já no Brasil, onde o etanol é utilizado como aditivo à gasolina (etanol anidro), em uma porcentagem que varia de 18% a 25% ou como combustível puro (etanol hidratado), a matéria-prima consolidada na sua produção é a cana-de-açúcar. O fato de ser utilizada uma ma</w:t>
      </w:r>
      <w:r w:rsidR="000F7F02">
        <w:rPr>
          <w:rFonts w:ascii="Times New Roman" w:hAnsi="Times New Roman" w:cs="Times New Roman"/>
          <w:sz w:val="24"/>
          <w:szCs w:val="24"/>
        </w:rPr>
        <w:t>téria-prima diferente implica</w:t>
      </w:r>
      <w:r>
        <w:rPr>
          <w:rFonts w:ascii="Times New Roman" w:hAnsi="Times New Roman" w:cs="Times New Roman"/>
          <w:sz w:val="24"/>
          <w:szCs w:val="24"/>
        </w:rPr>
        <w:t xml:space="preserve"> diferenças de tamanho para as unidades processadoras. Apesar de o setor ter ampliado as escalas de produção das usinas, buscando ocupar áreas estratégicas próximas a elas, em um processo de crescente integração vertical, após a colheita, a cana-de-açúcar não pode ser estocada por muito tempo, pois há perda de açúcar. </w:t>
      </w:r>
    </w:p>
    <w:p w:rsidR="00C6573C" w:rsidRPr="00743672" w:rsidRDefault="00C6573C" w:rsidP="00C6573C">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rPr>
        <w:t>A agroi</w:t>
      </w:r>
      <w:r w:rsidRPr="00E72A1B">
        <w:rPr>
          <w:rFonts w:ascii="Times New Roman" w:hAnsi="Times New Roman" w:cs="Times New Roman"/>
          <w:sz w:val="24"/>
          <w:szCs w:val="24"/>
          <w:lang w:val="pt-PT"/>
        </w:rPr>
        <w:t>ndústria</w:t>
      </w:r>
      <w:r>
        <w:rPr>
          <w:rFonts w:ascii="Times New Roman" w:hAnsi="Times New Roman" w:cs="Times New Roman"/>
          <w:sz w:val="24"/>
          <w:szCs w:val="24"/>
          <w:lang w:val="pt-PT"/>
        </w:rPr>
        <w:t xml:space="preserve"> da cana-de-açúcar</w:t>
      </w:r>
      <w:r w:rsidRPr="00E72A1B">
        <w:rPr>
          <w:rFonts w:ascii="Times New Roman" w:hAnsi="Times New Roman" w:cs="Times New Roman"/>
          <w:sz w:val="24"/>
          <w:szCs w:val="24"/>
          <w:lang w:val="pt-PT"/>
        </w:rPr>
        <w:t xml:space="preserve"> não esteve inicialmente associada à exploração agrícola para fins energéticos, como se sabe, mas evoluiu em direção a isso nas últimas décadas</w:t>
      </w:r>
      <w:r>
        <w:rPr>
          <w:rFonts w:ascii="Times New Roman" w:hAnsi="Times New Roman" w:cs="Times New Roman"/>
          <w:sz w:val="24"/>
          <w:szCs w:val="24"/>
          <w:lang w:val="pt-PT"/>
        </w:rPr>
        <w:t>. Durante a</w:t>
      </w:r>
      <w:r w:rsidRPr="00014964">
        <w:rPr>
          <w:rFonts w:ascii="Times New Roman" w:hAnsi="Times New Roman" w:cs="Times New Roman"/>
          <w:sz w:val="24"/>
          <w:szCs w:val="24"/>
          <w:lang w:val="pt-PT"/>
        </w:rPr>
        <w:t xml:space="preserve"> década de 1970</w:t>
      </w:r>
      <w:r>
        <w:rPr>
          <w:rFonts w:ascii="Times New Roman" w:hAnsi="Times New Roman" w:cs="Times New Roman"/>
          <w:sz w:val="24"/>
          <w:szCs w:val="24"/>
          <w:lang w:val="pt-PT"/>
        </w:rPr>
        <w:t>,</w:t>
      </w:r>
      <w:r w:rsidRPr="00014964">
        <w:rPr>
          <w:rFonts w:ascii="Times New Roman" w:hAnsi="Times New Roman" w:cs="Times New Roman"/>
          <w:sz w:val="24"/>
          <w:szCs w:val="24"/>
          <w:lang w:val="pt-PT"/>
        </w:rPr>
        <w:t xml:space="preserve"> a produção de etanol ganhou fôlego com o primeiro choque do petróleo e a decisão do governo de reduzir a dependência desta</w:t>
      </w:r>
      <w:r>
        <w:rPr>
          <w:rFonts w:ascii="Times New Roman" w:hAnsi="Times New Roman" w:cs="Times New Roman"/>
          <w:sz w:val="24"/>
          <w:szCs w:val="24"/>
          <w:lang w:val="pt-PT"/>
        </w:rPr>
        <w:t xml:space="preserve"> matéria-prima e seus derivados com o lançamento do Proalcool. Entretanto, n</w:t>
      </w:r>
      <w:r w:rsidRPr="00014964">
        <w:rPr>
          <w:rFonts w:ascii="Times New Roman" w:hAnsi="Times New Roman" w:cs="Times New Roman"/>
          <w:sz w:val="24"/>
          <w:szCs w:val="24"/>
          <w:lang w:val="pt-PT"/>
        </w:rPr>
        <w:t xml:space="preserve">o fim da década de 1980, a redução do preço internacional do petróleo desfez a principal justificativa para a existência do Proalcool, reduzindo o interesse do governo em manter os incentivos à produção de etanol. </w:t>
      </w: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O setor sucroenergético no Brasil apresentou um novo ciclo de crescimento desde 1995, especialmente devido ao aumento das exportações de açúcar na segunda metade da década de 1990, à retomada do consumo de etanol a partir de 2001 e à introdução dos veículos bicombustíveis em 2003. Em 2011, foram vendidos mais de 2,8 milhões de automóveis dessa categoria, representando 78% dos veículos novos vendidos (ANFAVEA, 2012). </w:t>
      </w: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Além de existir um mercado interno representado por esse crescente volume de vendas de carros com motores flexíveis, que funcionam com qualquer proporção de mistura de álcool e gasolina, </w:t>
      </w:r>
      <w:r w:rsidRPr="008D68C5">
        <w:rPr>
          <w:rFonts w:ascii="Times New Roman" w:hAnsi="Times New Roman" w:cs="Times New Roman"/>
          <w:sz w:val="24"/>
          <w:szCs w:val="24"/>
        </w:rPr>
        <w:t>e</w:t>
      </w:r>
      <w:r>
        <w:rPr>
          <w:rFonts w:ascii="Times New Roman" w:hAnsi="Times New Roman" w:cs="Times New Roman"/>
          <w:i/>
          <w:sz w:val="24"/>
          <w:szCs w:val="24"/>
        </w:rPr>
        <w:t xml:space="preserve"> </w:t>
      </w:r>
      <w:r>
        <w:rPr>
          <w:rFonts w:ascii="Times New Roman" w:hAnsi="Times New Roman" w:cs="Times New Roman"/>
          <w:sz w:val="24"/>
          <w:szCs w:val="24"/>
        </w:rPr>
        <w:t xml:space="preserve">pela mistura obrigatória na gasolina, parte da produção de etanol também foi direcionada para o mercado externo, tendo atingido mais de 5 bilhões de litros em 2008. Contudo, ressalta-se que em 2010, devido aos desequilíbrios entre oferta e demanda no mercado brasileiro, os Estados Unidos se tornaram um exportador líquido de etanol, enquanto as exportações brasileiras se reduziram de forma significativa, passando de 5 bilhões de litros em 2008 para menos de 2 bilhões em 2011 (UNICADATA, 2012). É possível que o comércio entre os dois países continue, caso a importação de etanol do Brasil seja a forma mais barata de cumprir as metas impostas pelo </w:t>
      </w:r>
      <w:r w:rsidR="00C47986">
        <w:rPr>
          <w:rFonts w:ascii="Times New Roman" w:hAnsi="Times New Roman" w:cs="Times New Roman"/>
          <w:sz w:val="24"/>
          <w:szCs w:val="24"/>
        </w:rPr>
        <w:t xml:space="preserve">Programa </w:t>
      </w:r>
      <w:r w:rsidR="00C47986" w:rsidRPr="00C47986">
        <w:rPr>
          <w:rFonts w:ascii="Times New Roman" w:hAnsi="Times New Roman" w:cs="Times New Roman"/>
          <w:i/>
          <w:sz w:val="24"/>
          <w:szCs w:val="24"/>
        </w:rPr>
        <w:t>Renewable Fuel Standard</w:t>
      </w:r>
      <w:r w:rsidR="00C47986">
        <w:rPr>
          <w:rFonts w:ascii="Times New Roman" w:hAnsi="Times New Roman" w:cs="Times New Roman"/>
          <w:sz w:val="24"/>
          <w:szCs w:val="24"/>
        </w:rPr>
        <w:t xml:space="preserve"> (</w:t>
      </w:r>
      <w:r>
        <w:rPr>
          <w:rFonts w:ascii="Times New Roman" w:hAnsi="Times New Roman" w:cs="Times New Roman"/>
          <w:sz w:val="24"/>
          <w:szCs w:val="24"/>
        </w:rPr>
        <w:t>RFS2</w:t>
      </w:r>
      <w:r w:rsidR="00C47986">
        <w:rPr>
          <w:rFonts w:ascii="Times New Roman" w:hAnsi="Times New Roman" w:cs="Times New Roman"/>
          <w:sz w:val="24"/>
          <w:szCs w:val="24"/>
        </w:rPr>
        <w:t>)</w:t>
      </w:r>
      <w:r w:rsidR="00C47986">
        <w:rPr>
          <w:rStyle w:val="Refdenotaderodap"/>
          <w:rFonts w:ascii="Times New Roman" w:hAnsi="Times New Roman" w:cs="Times New Roman"/>
          <w:sz w:val="24"/>
          <w:szCs w:val="24"/>
        </w:rPr>
        <w:footnoteReference w:id="9"/>
      </w:r>
      <w:r>
        <w:rPr>
          <w:rFonts w:ascii="Times New Roman" w:hAnsi="Times New Roman" w:cs="Times New Roman"/>
          <w:sz w:val="24"/>
          <w:szCs w:val="24"/>
        </w:rPr>
        <w:t xml:space="preserve"> para consumo de combustíveis renováveis avançados e a produção brasileira não seja capaz de </w:t>
      </w:r>
      <w:r>
        <w:rPr>
          <w:rFonts w:ascii="Times New Roman" w:hAnsi="Times New Roman" w:cs="Times New Roman"/>
          <w:sz w:val="24"/>
          <w:szCs w:val="24"/>
        </w:rPr>
        <w:lastRenderedPageBreak/>
        <w:t xml:space="preserve">atender à demanda crescente da frota de veículos </w:t>
      </w:r>
      <w:r w:rsidRPr="00F62F8A">
        <w:rPr>
          <w:rFonts w:ascii="Times New Roman" w:hAnsi="Times New Roman" w:cs="Times New Roman"/>
          <w:i/>
          <w:sz w:val="24"/>
          <w:szCs w:val="24"/>
        </w:rPr>
        <w:t>flex fuel</w:t>
      </w:r>
      <w:r>
        <w:rPr>
          <w:rFonts w:ascii="Times New Roman" w:hAnsi="Times New Roman" w:cs="Times New Roman"/>
          <w:sz w:val="24"/>
          <w:szCs w:val="24"/>
        </w:rPr>
        <w:t>, tornando necessária a importação de etanol norte-americano (OCDE; FAO, 2012).</w:t>
      </w:r>
    </w:p>
    <w:p w:rsidR="00C6573C" w:rsidRPr="008C542C" w:rsidRDefault="007223A5"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O gráfico 1</w:t>
      </w:r>
      <w:r w:rsidR="00C6573C">
        <w:rPr>
          <w:rFonts w:ascii="Times New Roman" w:hAnsi="Times New Roman" w:cs="Times New Roman"/>
          <w:sz w:val="24"/>
          <w:szCs w:val="24"/>
        </w:rPr>
        <w:t xml:space="preserve"> mostra que, a partir </w:t>
      </w:r>
      <w:r w:rsidR="00C6573C" w:rsidRPr="00196658">
        <w:rPr>
          <w:rFonts w:ascii="Times New Roman" w:hAnsi="Times New Roman" w:cs="Times New Roman"/>
          <w:sz w:val="24"/>
          <w:szCs w:val="24"/>
        </w:rPr>
        <w:t>de 2003, a produção de etan</w:t>
      </w:r>
      <w:r w:rsidR="00C6573C">
        <w:rPr>
          <w:rFonts w:ascii="Times New Roman" w:hAnsi="Times New Roman" w:cs="Times New Roman"/>
          <w:sz w:val="24"/>
          <w:szCs w:val="24"/>
        </w:rPr>
        <w:t xml:space="preserve">ol cresceu de forma significativa até 2008. A partir da safra 2008/2009, houve uma desaceleração na taxa de crescimento da produção de cana-de-açúcar, como reflexo da crise econômica mundial e redução dos investimentos na renovação dos canaviais. </w:t>
      </w:r>
    </w:p>
    <w:p w:rsidR="00C6573C" w:rsidRDefault="00C6573C" w:rsidP="00C6573C">
      <w:pPr>
        <w:jc w:val="center"/>
        <w:rPr>
          <w:rFonts w:ascii="Times New Roman" w:hAnsi="Times New Roman" w:cs="Times New Roman"/>
          <w:b/>
          <w:sz w:val="24"/>
          <w:szCs w:val="24"/>
        </w:rPr>
      </w:pPr>
      <w:bookmarkStart w:id="21" w:name="_Toc330505758"/>
      <w:bookmarkStart w:id="22" w:name="_Toc330506338"/>
    </w:p>
    <w:p w:rsidR="00C6573C" w:rsidRDefault="00C6573C" w:rsidP="00C6573C">
      <w:pPr>
        <w:jc w:val="center"/>
        <w:rPr>
          <w:rFonts w:ascii="Times New Roman" w:hAnsi="Times New Roman" w:cs="Times New Roman"/>
          <w:b/>
          <w:sz w:val="24"/>
          <w:szCs w:val="24"/>
        </w:rPr>
      </w:pPr>
      <w:r w:rsidRPr="00B163E4">
        <w:rPr>
          <w:rFonts w:ascii="Times New Roman" w:hAnsi="Times New Roman" w:cs="Times New Roman"/>
          <w:b/>
          <w:sz w:val="24"/>
          <w:szCs w:val="24"/>
        </w:rPr>
        <w:t xml:space="preserve">Gráfico </w:t>
      </w:r>
      <w:r w:rsidR="00115675">
        <w:rPr>
          <w:rFonts w:ascii="Times New Roman" w:hAnsi="Times New Roman" w:cs="Times New Roman"/>
          <w:b/>
          <w:sz w:val="24"/>
          <w:szCs w:val="24"/>
        </w:rPr>
        <w:t>1</w:t>
      </w:r>
      <w:r w:rsidRPr="00B163E4">
        <w:rPr>
          <w:rFonts w:ascii="Times New Roman" w:hAnsi="Times New Roman" w:cs="Times New Roman"/>
          <w:b/>
          <w:sz w:val="24"/>
          <w:szCs w:val="24"/>
        </w:rPr>
        <w:t xml:space="preserve">. </w:t>
      </w:r>
      <w:r>
        <w:rPr>
          <w:rFonts w:ascii="Times New Roman" w:hAnsi="Times New Roman" w:cs="Times New Roman"/>
          <w:b/>
          <w:sz w:val="24"/>
          <w:szCs w:val="24"/>
        </w:rPr>
        <w:t>Evolução da produção brasileira de e</w:t>
      </w:r>
      <w:r w:rsidRPr="00B163E4">
        <w:rPr>
          <w:rFonts w:ascii="Times New Roman" w:hAnsi="Times New Roman" w:cs="Times New Roman"/>
          <w:b/>
          <w:sz w:val="24"/>
          <w:szCs w:val="24"/>
        </w:rPr>
        <w:t>tanol</w:t>
      </w:r>
      <w:bookmarkEnd w:id="21"/>
      <w:bookmarkEnd w:id="22"/>
    </w:p>
    <w:p w:rsidR="00C6573C" w:rsidRPr="00B163E4" w:rsidRDefault="00C6573C" w:rsidP="00C6573C">
      <w:pPr>
        <w:jc w:val="center"/>
        <w:outlineLvl w:val="0"/>
        <w:rPr>
          <w:rFonts w:ascii="Times New Roman" w:hAnsi="Times New Roman" w:cs="Times New Roman"/>
          <w:b/>
          <w:sz w:val="24"/>
          <w:szCs w:val="24"/>
        </w:rPr>
      </w:pPr>
      <w:bookmarkStart w:id="23" w:name="_Toc330505759"/>
      <w:bookmarkStart w:id="24" w:name="_Toc330506339"/>
      <w:bookmarkStart w:id="25" w:name="_Toc331848310"/>
      <w:bookmarkStart w:id="26" w:name="_Toc331848518"/>
      <w:bookmarkStart w:id="27" w:name="_Toc332018592"/>
      <w:bookmarkStart w:id="28" w:name="_Toc333911343"/>
      <w:r>
        <w:rPr>
          <w:rFonts w:ascii="Times New Roman" w:hAnsi="Times New Roman" w:cs="Times New Roman"/>
          <w:b/>
          <w:sz w:val="24"/>
          <w:szCs w:val="24"/>
        </w:rPr>
        <w:t>(</w:t>
      </w:r>
      <w:r w:rsidRPr="00B163E4">
        <w:rPr>
          <w:rFonts w:ascii="Times New Roman" w:hAnsi="Times New Roman" w:cs="Times New Roman"/>
          <w:b/>
          <w:sz w:val="24"/>
          <w:szCs w:val="24"/>
        </w:rPr>
        <w:t>em milhões de m</w:t>
      </w:r>
      <w:r w:rsidRPr="00B163E4">
        <w:rPr>
          <w:rFonts w:ascii="Times New Roman" w:hAnsi="Times New Roman" w:cs="Times New Roman"/>
          <w:b/>
          <w:sz w:val="24"/>
          <w:szCs w:val="24"/>
          <w:vertAlign w:val="superscript"/>
        </w:rPr>
        <w:t>3</w:t>
      </w:r>
      <w:r w:rsidRPr="00457A98">
        <w:rPr>
          <w:rFonts w:ascii="Times New Roman" w:hAnsi="Times New Roman" w:cs="Times New Roman"/>
          <w:b/>
          <w:sz w:val="24"/>
          <w:szCs w:val="24"/>
        </w:rPr>
        <w:t>)</w:t>
      </w:r>
      <w:bookmarkEnd w:id="23"/>
      <w:bookmarkEnd w:id="24"/>
      <w:bookmarkEnd w:id="25"/>
      <w:bookmarkEnd w:id="26"/>
      <w:bookmarkEnd w:id="27"/>
      <w:bookmarkEnd w:id="28"/>
    </w:p>
    <w:p w:rsidR="00C6573C" w:rsidRDefault="00EE56DA" w:rsidP="00C6573C">
      <w:pPr>
        <w:jc w:val="center"/>
        <w:rPr>
          <w:rFonts w:ascii="Times New Roman" w:hAnsi="Times New Roman" w:cs="Times New Roman"/>
          <w:sz w:val="24"/>
          <w:szCs w:val="24"/>
        </w:rPr>
      </w:pPr>
      <w:r>
        <w:rPr>
          <w:rFonts w:ascii="Times New Roman" w:hAnsi="Times New Roman" w:cs="Times New Roman"/>
          <w:sz w:val="24"/>
          <w:szCs w:val="24"/>
        </w:rPr>
        <w:pict>
          <v:shape id="_x0000_s1034" type="#_x0000_t202" style="position:absolute;left:0;text-align:left;margin-left:417.2pt;margin-top:6.15pt;width:53.3pt;height:15pt;z-index:251661312;mso-width-relative:margin;mso-height-relative:margin" fillcolor="white [3212]" stroked="f">
            <v:fill opacity="0"/>
            <v:textbox style="mso-next-textbox:#_x0000_s1034">
              <w:txbxContent>
                <w:p w:rsidR="00A57446" w:rsidRDefault="00A57446" w:rsidP="00C6573C"/>
              </w:txbxContent>
            </v:textbox>
          </v:shape>
        </w:pict>
      </w:r>
      <w:r w:rsidR="00C6573C" w:rsidRPr="00070BC9">
        <w:rPr>
          <w:rFonts w:ascii="Times New Roman" w:hAnsi="Times New Roman" w:cs="Times New Roman"/>
          <w:noProof/>
          <w:sz w:val="24"/>
          <w:szCs w:val="24"/>
          <w:lang w:eastAsia="pt-BR"/>
        </w:rPr>
        <w:drawing>
          <wp:inline distT="0" distB="0" distL="0" distR="0">
            <wp:extent cx="5495925" cy="3228975"/>
            <wp:effectExtent l="0" t="0" r="0" b="0"/>
            <wp:docPr id="16"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6573C" w:rsidRDefault="00C6573C" w:rsidP="00C6573C">
      <w:pPr>
        <w:jc w:val="center"/>
        <w:rPr>
          <w:rFonts w:ascii="Times New Roman" w:hAnsi="Times New Roman" w:cs="Times New Roman"/>
          <w:sz w:val="24"/>
          <w:szCs w:val="24"/>
        </w:rPr>
      </w:pPr>
    </w:p>
    <w:p w:rsidR="00C6573C" w:rsidRPr="00E634CC" w:rsidRDefault="00C6573C" w:rsidP="00C6573C">
      <w:pPr>
        <w:ind w:firstLine="708"/>
        <w:outlineLvl w:val="0"/>
        <w:rPr>
          <w:rFonts w:ascii="Times New Roman" w:hAnsi="Times New Roman" w:cs="Times New Roman"/>
          <w:sz w:val="20"/>
          <w:szCs w:val="20"/>
        </w:rPr>
      </w:pPr>
      <w:bookmarkStart w:id="29" w:name="_Toc330505760"/>
      <w:bookmarkStart w:id="30" w:name="_Toc330506340"/>
      <w:bookmarkStart w:id="31" w:name="_Toc331848311"/>
      <w:bookmarkStart w:id="32" w:name="_Toc331848519"/>
      <w:bookmarkStart w:id="33" w:name="_Toc332018593"/>
      <w:bookmarkStart w:id="34" w:name="_Toc333911344"/>
      <w:r w:rsidRPr="00E634CC">
        <w:rPr>
          <w:rFonts w:ascii="Times New Roman" w:hAnsi="Times New Roman" w:cs="Times New Roman"/>
          <w:sz w:val="20"/>
          <w:szCs w:val="20"/>
        </w:rPr>
        <w:t xml:space="preserve">Fonte: </w:t>
      </w:r>
      <w:r>
        <w:rPr>
          <w:rFonts w:ascii="Times New Roman" w:hAnsi="Times New Roman" w:cs="Times New Roman"/>
          <w:sz w:val="20"/>
          <w:szCs w:val="20"/>
        </w:rPr>
        <w:t>U</w:t>
      </w:r>
      <w:r w:rsidRPr="00E634CC">
        <w:rPr>
          <w:rFonts w:ascii="Times New Roman" w:hAnsi="Times New Roman" w:cs="Times New Roman"/>
          <w:sz w:val="20"/>
          <w:szCs w:val="20"/>
        </w:rPr>
        <w:t>NICA</w:t>
      </w:r>
      <w:bookmarkEnd w:id="29"/>
      <w:bookmarkEnd w:id="30"/>
      <w:r>
        <w:rPr>
          <w:rFonts w:ascii="Times New Roman" w:hAnsi="Times New Roman" w:cs="Times New Roman"/>
          <w:sz w:val="20"/>
          <w:szCs w:val="20"/>
        </w:rPr>
        <w:t>DATA</w:t>
      </w:r>
      <w:bookmarkEnd w:id="31"/>
      <w:bookmarkEnd w:id="32"/>
      <w:bookmarkEnd w:id="33"/>
      <w:bookmarkEnd w:id="34"/>
    </w:p>
    <w:p w:rsidR="00C6573C" w:rsidRDefault="00C6573C" w:rsidP="00C6573C">
      <w:pPr>
        <w:spacing w:line="360" w:lineRule="auto"/>
        <w:ind w:firstLine="708"/>
        <w:rPr>
          <w:rFonts w:ascii="Times New Roman" w:hAnsi="Times New Roman" w:cs="Times New Roman"/>
          <w:sz w:val="24"/>
          <w:szCs w:val="24"/>
        </w:rPr>
      </w:pP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Quanto à localização, destaca-se que a produção se concentra </w:t>
      </w:r>
      <w:r w:rsidRPr="00E634CC">
        <w:rPr>
          <w:rFonts w:ascii="Times New Roman" w:hAnsi="Times New Roman" w:cs="Times New Roman"/>
          <w:sz w:val="24"/>
          <w:szCs w:val="24"/>
        </w:rPr>
        <w:t>nas regiões Sudeste e Centro-Oeste</w:t>
      </w:r>
      <w:r>
        <w:rPr>
          <w:rFonts w:ascii="Times New Roman" w:hAnsi="Times New Roman" w:cs="Times New Roman"/>
          <w:sz w:val="24"/>
          <w:szCs w:val="24"/>
        </w:rPr>
        <w:t>. Na</w:t>
      </w:r>
      <w:r w:rsidRPr="00E634CC">
        <w:rPr>
          <w:rFonts w:ascii="Times New Roman" w:hAnsi="Times New Roman" w:cs="Times New Roman"/>
          <w:sz w:val="24"/>
          <w:szCs w:val="24"/>
        </w:rPr>
        <w:t xml:space="preserve"> safra 2008/2009, a produção total de etanol cor</w:t>
      </w:r>
      <w:r>
        <w:rPr>
          <w:rFonts w:ascii="Times New Roman" w:hAnsi="Times New Roman" w:cs="Times New Roman"/>
          <w:sz w:val="24"/>
          <w:szCs w:val="24"/>
        </w:rPr>
        <w:t>respondeu a mais de 27,5 bilhões de litros</w:t>
      </w:r>
      <w:r w:rsidRPr="00E634CC">
        <w:rPr>
          <w:rFonts w:ascii="Times New Roman" w:hAnsi="Times New Roman" w:cs="Times New Roman"/>
          <w:sz w:val="24"/>
          <w:szCs w:val="24"/>
        </w:rPr>
        <w:t xml:space="preserve">. Desse montante, quase 80% foram produzidos pelos estados de Goiás, Minas Gerais, São Paulo e Mato </w:t>
      </w:r>
      <w:r>
        <w:rPr>
          <w:rFonts w:ascii="Times New Roman" w:hAnsi="Times New Roman" w:cs="Times New Roman"/>
          <w:sz w:val="24"/>
          <w:szCs w:val="24"/>
        </w:rPr>
        <w:t>Grosso do Sul.</w:t>
      </w:r>
    </w:p>
    <w:p w:rsidR="00C6573C" w:rsidRDefault="00C6573C" w:rsidP="00C6573C">
      <w:pPr>
        <w:spacing w:line="360" w:lineRule="auto"/>
        <w:ind w:firstLine="708"/>
        <w:rPr>
          <w:rFonts w:ascii="Times New Roman" w:hAnsi="Times New Roman" w:cs="Times New Roman"/>
          <w:sz w:val="24"/>
          <w:szCs w:val="24"/>
        </w:rPr>
      </w:pPr>
      <w:r w:rsidRPr="00E634CC">
        <w:rPr>
          <w:rFonts w:ascii="Times New Roman" w:hAnsi="Times New Roman" w:cs="Times New Roman"/>
          <w:sz w:val="24"/>
          <w:szCs w:val="24"/>
        </w:rPr>
        <w:t>A estrutura industrial sucroalcooleira no Brasil experimentou mudanças s</w:t>
      </w:r>
      <w:r>
        <w:rPr>
          <w:rFonts w:ascii="Times New Roman" w:hAnsi="Times New Roman" w:cs="Times New Roman"/>
          <w:sz w:val="24"/>
          <w:szCs w:val="24"/>
        </w:rPr>
        <w:t xml:space="preserve">ignificativas nos últimos anos devido à </w:t>
      </w:r>
      <w:r w:rsidRPr="00E634CC">
        <w:rPr>
          <w:rFonts w:ascii="Times New Roman" w:hAnsi="Times New Roman" w:cs="Times New Roman"/>
          <w:sz w:val="24"/>
          <w:szCs w:val="24"/>
        </w:rPr>
        <w:t xml:space="preserve">crescente integração com setores a montante e a jusante do processamento da cana-de-açúcar. </w:t>
      </w:r>
      <w:r>
        <w:rPr>
          <w:rFonts w:ascii="Times New Roman" w:hAnsi="Times New Roman" w:cs="Times New Roman"/>
          <w:sz w:val="24"/>
          <w:szCs w:val="24"/>
        </w:rPr>
        <w:t xml:space="preserve">O fato de a tecnologia de produção atual ser bastante consolidada e de fácil aquisição não significa a completa ausência de barreiras à entrada. Porque a estratégia de muitas empresas passou a incorporar o cultivo da matéria-prima, a concorrência por terras mais próximas dos centros consumidores e distribuidores se tornou </w:t>
      </w:r>
      <w:r>
        <w:rPr>
          <w:rFonts w:ascii="Times New Roman" w:hAnsi="Times New Roman" w:cs="Times New Roman"/>
          <w:sz w:val="24"/>
          <w:szCs w:val="24"/>
        </w:rPr>
        <w:lastRenderedPageBreak/>
        <w:t>uma desvantagem para os grupos que decidiram construir novas usinas tardiamente (ROSÁRIO, 2008).</w:t>
      </w: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A</w:t>
      </w:r>
      <w:r w:rsidRPr="00E634CC">
        <w:rPr>
          <w:rFonts w:ascii="Times New Roman" w:hAnsi="Times New Roman" w:cs="Times New Roman"/>
          <w:sz w:val="24"/>
          <w:szCs w:val="24"/>
        </w:rPr>
        <w:t xml:space="preserve"> </w:t>
      </w:r>
      <w:r>
        <w:rPr>
          <w:rFonts w:ascii="Times New Roman" w:hAnsi="Times New Roman" w:cs="Times New Roman"/>
          <w:sz w:val="24"/>
          <w:szCs w:val="24"/>
        </w:rPr>
        <w:t xml:space="preserve">verticalização das atividades agroindustriais, de transporte, de comercialização e distribuição tem sido aspecto comum entre as estratégias empresariais, ao mesmo tempo em que visam à expansão da capacidade produtiva. Essa tendência revela uma preocupação com o planejamento estratégico, associada à garantia de fornecimento do insumo e à redução de custos. </w:t>
      </w: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No que diz respeito à concentração industrial, n</w:t>
      </w:r>
      <w:r w:rsidRPr="00E634CC">
        <w:rPr>
          <w:rFonts w:ascii="Times New Roman" w:hAnsi="Times New Roman" w:cs="Times New Roman"/>
          <w:sz w:val="24"/>
          <w:szCs w:val="24"/>
        </w:rPr>
        <w:t xml:space="preserve">a safra 2006/2007, </w:t>
      </w:r>
      <w:r>
        <w:rPr>
          <w:rFonts w:ascii="Times New Roman" w:hAnsi="Times New Roman" w:cs="Times New Roman"/>
          <w:sz w:val="24"/>
          <w:szCs w:val="24"/>
        </w:rPr>
        <w:t xml:space="preserve">o sistema de produção envolvia 330 usinas, sendo que </w:t>
      </w:r>
      <w:r w:rsidRPr="00E634CC">
        <w:rPr>
          <w:rFonts w:ascii="Times New Roman" w:hAnsi="Times New Roman" w:cs="Times New Roman"/>
          <w:sz w:val="24"/>
          <w:szCs w:val="24"/>
        </w:rPr>
        <w:t>as 10 maiores empresas processavam 15% da cana de açúcar produzida, enquanto mais de 180 usinas utilizavam metade da produção dessa matéria-prima</w:t>
      </w:r>
      <w:r>
        <w:rPr>
          <w:rFonts w:ascii="Times New Roman" w:hAnsi="Times New Roman" w:cs="Times New Roman"/>
          <w:sz w:val="24"/>
          <w:szCs w:val="24"/>
        </w:rPr>
        <w:t xml:space="preserve"> (CGEE; BNDES, 2008)</w:t>
      </w:r>
      <w:r w:rsidRPr="00E634CC">
        <w:rPr>
          <w:rFonts w:ascii="Times New Roman" w:hAnsi="Times New Roman" w:cs="Times New Roman"/>
          <w:sz w:val="24"/>
          <w:szCs w:val="24"/>
        </w:rPr>
        <w:t xml:space="preserve">. </w:t>
      </w:r>
      <w:r>
        <w:rPr>
          <w:rFonts w:ascii="Times New Roman" w:hAnsi="Times New Roman" w:cs="Times New Roman"/>
          <w:sz w:val="24"/>
          <w:szCs w:val="24"/>
        </w:rPr>
        <w:t xml:space="preserve">Em 2009, conforme indica o estudo da </w:t>
      </w:r>
      <w:r w:rsidR="007525A9">
        <w:rPr>
          <w:rFonts w:ascii="Times New Roman" w:hAnsi="Times New Roman" w:cs="Times New Roman"/>
          <w:sz w:val="24"/>
          <w:szCs w:val="24"/>
        </w:rPr>
        <w:t xml:space="preserve">Agência Nacional de Águas (ANA, </w:t>
      </w:r>
      <w:r w:rsidRPr="00643F8E">
        <w:rPr>
          <w:rFonts w:ascii="Times New Roman" w:hAnsi="Times New Roman" w:cs="Times New Roman"/>
          <w:sz w:val="24"/>
          <w:szCs w:val="24"/>
        </w:rPr>
        <w:t>2009), o</w:t>
      </w:r>
      <w:r>
        <w:rPr>
          <w:rFonts w:ascii="Times New Roman" w:hAnsi="Times New Roman" w:cs="Times New Roman"/>
          <w:sz w:val="24"/>
          <w:szCs w:val="24"/>
        </w:rPr>
        <w:t xml:space="preserve"> número de unidades produtoras sucroenergéticas aumentou para 356</w:t>
      </w:r>
      <w:r w:rsidRPr="00E634CC">
        <w:rPr>
          <w:rFonts w:ascii="Times New Roman" w:hAnsi="Times New Roman" w:cs="Times New Roman"/>
          <w:sz w:val="24"/>
          <w:szCs w:val="24"/>
        </w:rPr>
        <w:t xml:space="preserve">, com capacidade </w:t>
      </w:r>
      <w:r>
        <w:rPr>
          <w:rFonts w:ascii="Times New Roman" w:hAnsi="Times New Roman" w:cs="Times New Roman"/>
          <w:sz w:val="24"/>
          <w:szCs w:val="24"/>
        </w:rPr>
        <w:t>média de moagem que variava de 815</w:t>
      </w:r>
      <w:r w:rsidRPr="00E634CC">
        <w:rPr>
          <w:rFonts w:ascii="Times New Roman" w:hAnsi="Times New Roman" w:cs="Times New Roman"/>
          <w:sz w:val="24"/>
          <w:szCs w:val="24"/>
        </w:rPr>
        <w:t xml:space="preserve"> mil </w:t>
      </w:r>
      <w:r>
        <w:rPr>
          <w:rFonts w:ascii="Times New Roman" w:hAnsi="Times New Roman" w:cs="Times New Roman"/>
          <w:sz w:val="24"/>
          <w:szCs w:val="24"/>
        </w:rPr>
        <w:t xml:space="preserve">(região Norte-Nordeste) </w:t>
      </w:r>
      <w:r w:rsidRPr="00E634CC">
        <w:rPr>
          <w:rFonts w:ascii="Times New Roman" w:hAnsi="Times New Roman" w:cs="Times New Roman"/>
          <w:sz w:val="24"/>
          <w:szCs w:val="24"/>
        </w:rPr>
        <w:t>a</w:t>
      </w:r>
      <w:r>
        <w:rPr>
          <w:rFonts w:ascii="Times New Roman" w:hAnsi="Times New Roman" w:cs="Times New Roman"/>
          <w:sz w:val="24"/>
          <w:szCs w:val="24"/>
        </w:rPr>
        <w:t xml:space="preserve"> 1,5 milhão de toneladas de cana-de-</w:t>
      </w:r>
      <w:r w:rsidRPr="00E634CC">
        <w:rPr>
          <w:rFonts w:ascii="Times New Roman" w:hAnsi="Times New Roman" w:cs="Times New Roman"/>
          <w:sz w:val="24"/>
          <w:szCs w:val="24"/>
        </w:rPr>
        <w:t>açúcar por</w:t>
      </w:r>
      <w:r>
        <w:rPr>
          <w:rFonts w:ascii="Times New Roman" w:hAnsi="Times New Roman" w:cs="Times New Roman"/>
          <w:sz w:val="24"/>
          <w:szCs w:val="24"/>
        </w:rPr>
        <w:t xml:space="preserve"> ano (região Centro-Sul). </w:t>
      </w: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Atualmente, segundo</w:t>
      </w:r>
      <w:r w:rsidRPr="00E634CC">
        <w:rPr>
          <w:rFonts w:ascii="Times New Roman" w:hAnsi="Times New Roman" w:cs="Times New Roman"/>
          <w:sz w:val="24"/>
          <w:szCs w:val="24"/>
        </w:rPr>
        <w:t xml:space="preserve"> informações divulgadas pelas próprias empresas</w:t>
      </w:r>
      <w:r>
        <w:rPr>
          <w:rFonts w:ascii="Times New Roman" w:hAnsi="Times New Roman" w:cs="Times New Roman"/>
          <w:sz w:val="24"/>
          <w:szCs w:val="24"/>
        </w:rPr>
        <w:t>, Cosan, LDC, ETH e Bunge tê</w:t>
      </w:r>
      <w:r w:rsidRPr="00E634CC">
        <w:rPr>
          <w:rFonts w:ascii="Times New Roman" w:hAnsi="Times New Roman" w:cs="Times New Roman"/>
          <w:sz w:val="24"/>
          <w:szCs w:val="24"/>
        </w:rPr>
        <w:t>m, em conjunto, capacidade para processamento de cerca de 160 milhões de toneladas de cana. A produção de etanol dessas quatro empresas corresponde a aproximadamente 7 milhões de m</w:t>
      </w:r>
      <w:r w:rsidRPr="000865C9">
        <w:rPr>
          <w:rFonts w:ascii="Times New Roman" w:hAnsi="Times New Roman" w:cs="Times New Roman"/>
          <w:sz w:val="24"/>
          <w:szCs w:val="24"/>
          <w:vertAlign w:val="superscript"/>
        </w:rPr>
        <w:t>3</w:t>
      </w:r>
      <w:r>
        <w:rPr>
          <w:rFonts w:ascii="Times New Roman" w:hAnsi="Times New Roman" w:cs="Times New Roman"/>
          <w:sz w:val="24"/>
          <w:szCs w:val="24"/>
        </w:rPr>
        <w:t>, cerca de um quarto</w:t>
      </w:r>
      <w:r w:rsidRPr="00E634CC">
        <w:rPr>
          <w:rFonts w:ascii="Times New Roman" w:hAnsi="Times New Roman" w:cs="Times New Roman"/>
          <w:sz w:val="24"/>
          <w:szCs w:val="24"/>
        </w:rPr>
        <w:t xml:space="preserve"> do total.</w:t>
      </w: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A</w:t>
      </w:r>
      <w:r w:rsidRPr="005B3772">
        <w:rPr>
          <w:rFonts w:ascii="Times New Roman" w:hAnsi="Times New Roman" w:cs="Times New Roman"/>
          <w:sz w:val="24"/>
          <w:szCs w:val="24"/>
        </w:rPr>
        <w:t xml:space="preserve">pesar de ainda ser relativamente baixo o grau de concentração da indústria, esse índice vem aumentando. Tal fato decorre das diversas operações de aquisições de usinas menores por grandes grupos ligados ao agronegócio, além dos maciços investimentos de empresas estrangeiras que vêem na cana de açúcar uma matéria-prima bastante promissora. </w:t>
      </w:r>
      <w:r>
        <w:rPr>
          <w:rFonts w:ascii="Times New Roman" w:hAnsi="Times New Roman" w:cs="Times New Roman"/>
          <w:sz w:val="24"/>
          <w:szCs w:val="24"/>
        </w:rPr>
        <w:t>E</w:t>
      </w:r>
      <w:r w:rsidRPr="00E634CC">
        <w:rPr>
          <w:rFonts w:ascii="Times New Roman" w:hAnsi="Times New Roman" w:cs="Times New Roman"/>
          <w:sz w:val="24"/>
          <w:szCs w:val="24"/>
        </w:rPr>
        <w:t>ntre 2004 e 2010, foram realizadas cerca de 60 operações de</w:t>
      </w:r>
      <w:r>
        <w:rPr>
          <w:rFonts w:ascii="Times New Roman" w:hAnsi="Times New Roman" w:cs="Times New Roman"/>
          <w:sz w:val="24"/>
          <w:szCs w:val="24"/>
        </w:rPr>
        <w:t xml:space="preserve"> fusões e aquisições (FARINA et al</w:t>
      </w:r>
      <w:r>
        <w:rPr>
          <w:rFonts w:ascii="Times New Roman" w:hAnsi="Times New Roman" w:cs="Times New Roman"/>
          <w:i/>
          <w:sz w:val="24"/>
          <w:szCs w:val="24"/>
        </w:rPr>
        <w:t>.</w:t>
      </w:r>
      <w:r w:rsidRPr="00E634CC">
        <w:rPr>
          <w:rFonts w:ascii="Times New Roman" w:hAnsi="Times New Roman" w:cs="Times New Roman"/>
          <w:sz w:val="24"/>
          <w:szCs w:val="24"/>
        </w:rPr>
        <w:t>, 2010).</w:t>
      </w:r>
      <w:r>
        <w:rPr>
          <w:rFonts w:ascii="Times New Roman" w:hAnsi="Times New Roman" w:cs="Times New Roman"/>
          <w:sz w:val="24"/>
          <w:szCs w:val="24"/>
        </w:rPr>
        <w:t xml:space="preserve"> </w:t>
      </w: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Essa reestruturação industrial, segundo Rosário (2008), não tem a ver só com o interesse dos grupos estrangeiros nos baixos custos de produção, mas também com uma mudança do regime competitivo de toda a indústria brasileira durante os anos 1990 e a liberalização dos preços no setor. </w:t>
      </w:r>
    </w:p>
    <w:p w:rsidR="00C6573C" w:rsidRPr="005B3772"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A crescente participação do capital estrangeiro é uma tendência que teve início já em meados da década de 1990, sendo possível </w:t>
      </w:r>
      <w:r w:rsidRPr="005B3772">
        <w:rPr>
          <w:rFonts w:ascii="Times New Roman" w:hAnsi="Times New Roman" w:cs="Times New Roman"/>
          <w:sz w:val="24"/>
          <w:szCs w:val="24"/>
        </w:rPr>
        <w:t>identifica</w:t>
      </w:r>
      <w:r>
        <w:rPr>
          <w:rFonts w:ascii="Times New Roman" w:hAnsi="Times New Roman" w:cs="Times New Roman"/>
          <w:sz w:val="24"/>
          <w:szCs w:val="24"/>
        </w:rPr>
        <w:t>r</w:t>
      </w:r>
      <w:r w:rsidRPr="005B3772">
        <w:rPr>
          <w:rFonts w:ascii="Times New Roman" w:hAnsi="Times New Roman" w:cs="Times New Roman"/>
          <w:sz w:val="24"/>
          <w:szCs w:val="24"/>
        </w:rPr>
        <w:t xml:space="preserve"> características distintas em </w:t>
      </w:r>
      <w:r>
        <w:rPr>
          <w:rFonts w:ascii="Times New Roman" w:hAnsi="Times New Roman" w:cs="Times New Roman"/>
          <w:sz w:val="24"/>
          <w:szCs w:val="24"/>
        </w:rPr>
        <w:t>dois momentos desse</w:t>
      </w:r>
      <w:r w:rsidRPr="005B3772">
        <w:rPr>
          <w:rFonts w:ascii="Times New Roman" w:hAnsi="Times New Roman" w:cs="Times New Roman"/>
          <w:sz w:val="24"/>
          <w:szCs w:val="24"/>
        </w:rPr>
        <w:t xml:space="preserve"> processo de reestrutura</w:t>
      </w:r>
      <w:r>
        <w:rPr>
          <w:rFonts w:ascii="Times New Roman" w:hAnsi="Times New Roman" w:cs="Times New Roman"/>
          <w:sz w:val="24"/>
          <w:szCs w:val="24"/>
        </w:rPr>
        <w:t>ção industrial</w:t>
      </w:r>
      <w:r w:rsidRPr="005B3772">
        <w:rPr>
          <w:rFonts w:ascii="Times New Roman" w:hAnsi="Times New Roman" w:cs="Times New Roman"/>
          <w:sz w:val="24"/>
          <w:szCs w:val="24"/>
        </w:rPr>
        <w:t xml:space="preserve">. No primeiro período, de 2002 a 2008, os negócios de consolidação colocavam em prática estratégias empresariais de ganho de escala e eliminação de concorrentes, além da aceleração da entrada de capitais em novos mercados. Com a crise financeira, por outro lado, a dificuldade de acesso a crédito culminou </w:t>
      </w:r>
      <w:r w:rsidRPr="005B3772">
        <w:rPr>
          <w:rFonts w:ascii="Times New Roman" w:hAnsi="Times New Roman" w:cs="Times New Roman"/>
          <w:sz w:val="24"/>
          <w:szCs w:val="24"/>
        </w:rPr>
        <w:lastRenderedPageBreak/>
        <w:t>no alto grau de insolvência e de endividamento de algumas empresas do setor, intensificando o process</w:t>
      </w:r>
      <w:r>
        <w:rPr>
          <w:rFonts w:ascii="Times New Roman" w:hAnsi="Times New Roman" w:cs="Times New Roman"/>
          <w:sz w:val="24"/>
          <w:szCs w:val="24"/>
        </w:rPr>
        <w:t xml:space="preserve">o de centralização de capital (BENETTI, 2009). </w:t>
      </w:r>
    </w:p>
    <w:p w:rsidR="00C6573C" w:rsidRPr="005B3772" w:rsidRDefault="00C6573C" w:rsidP="00C6573C">
      <w:pPr>
        <w:spacing w:line="360" w:lineRule="auto"/>
        <w:ind w:firstLine="708"/>
        <w:rPr>
          <w:rFonts w:ascii="Times New Roman" w:hAnsi="Times New Roman" w:cs="Times New Roman"/>
          <w:sz w:val="24"/>
          <w:szCs w:val="24"/>
        </w:rPr>
      </w:pPr>
      <w:r w:rsidRPr="005B3772">
        <w:rPr>
          <w:rFonts w:ascii="Times New Roman" w:hAnsi="Times New Roman" w:cs="Times New Roman"/>
          <w:sz w:val="24"/>
          <w:szCs w:val="24"/>
        </w:rPr>
        <w:t xml:space="preserve">Com relação ao crescimento do investimento externo direto na indústria brasileira de etanol, Gomes (2010) aponta que essa tendência traz tanto impactos positivos quanto negativos para as estratégias políticas mais amplas na referida indústria. A internacionalização do setor amplia o acesso a mercados consumidores, estando assim em linha com a estratégia do governo em transformar o etanol em uma </w:t>
      </w:r>
      <w:r w:rsidRPr="00115675">
        <w:rPr>
          <w:rFonts w:ascii="Times New Roman" w:hAnsi="Times New Roman" w:cs="Times New Roman"/>
          <w:i/>
          <w:sz w:val="24"/>
          <w:szCs w:val="24"/>
        </w:rPr>
        <w:t>commodity</w:t>
      </w:r>
      <w:r w:rsidRPr="005B3772">
        <w:rPr>
          <w:rFonts w:ascii="Times New Roman" w:hAnsi="Times New Roman" w:cs="Times New Roman"/>
          <w:sz w:val="24"/>
          <w:szCs w:val="24"/>
        </w:rPr>
        <w:t xml:space="preserve"> comercializável em nível mundial, porém também dificulta a expansão de empresas nac</w:t>
      </w:r>
      <w:r>
        <w:rPr>
          <w:rFonts w:ascii="Times New Roman" w:hAnsi="Times New Roman" w:cs="Times New Roman"/>
          <w:sz w:val="24"/>
          <w:szCs w:val="24"/>
        </w:rPr>
        <w:t>ionais para o exterior. A autora</w:t>
      </w:r>
      <w:r w:rsidRPr="005B3772">
        <w:rPr>
          <w:rFonts w:ascii="Times New Roman" w:hAnsi="Times New Roman" w:cs="Times New Roman"/>
          <w:sz w:val="24"/>
          <w:szCs w:val="24"/>
        </w:rPr>
        <w:t xml:space="preserve"> ainda enfatiza que o processo tem ocorrido por meio de oper</w:t>
      </w:r>
      <w:r>
        <w:rPr>
          <w:rFonts w:ascii="Times New Roman" w:hAnsi="Times New Roman" w:cs="Times New Roman"/>
          <w:sz w:val="24"/>
          <w:szCs w:val="24"/>
        </w:rPr>
        <w:t>ações mais complexas do que as</w:t>
      </w:r>
      <w:r w:rsidRPr="005B3772">
        <w:rPr>
          <w:rFonts w:ascii="Times New Roman" w:hAnsi="Times New Roman" w:cs="Times New Roman"/>
          <w:sz w:val="24"/>
          <w:szCs w:val="24"/>
        </w:rPr>
        <w:t xml:space="preserve"> fusões e aquisições, como a formação de </w:t>
      </w:r>
      <w:r>
        <w:rPr>
          <w:rFonts w:ascii="Times New Roman" w:hAnsi="Times New Roman" w:cs="Times New Roman"/>
          <w:i/>
          <w:sz w:val="24"/>
          <w:szCs w:val="24"/>
        </w:rPr>
        <w:t xml:space="preserve">joint </w:t>
      </w:r>
      <w:r w:rsidRPr="005B3772">
        <w:rPr>
          <w:rFonts w:ascii="Times New Roman" w:hAnsi="Times New Roman" w:cs="Times New Roman"/>
          <w:i/>
          <w:sz w:val="24"/>
          <w:szCs w:val="24"/>
        </w:rPr>
        <w:t>ventures</w:t>
      </w:r>
      <w:r w:rsidRPr="005B3772">
        <w:rPr>
          <w:rFonts w:ascii="Times New Roman" w:hAnsi="Times New Roman" w:cs="Times New Roman"/>
          <w:sz w:val="24"/>
          <w:szCs w:val="24"/>
        </w:rPr>
        <w:t xml:space="preserve">, alianças com empresas locais, participação em fundos de investimento e acordos estratégicos formais de intercâmbio no âmbito comercial e industrial, de transferência </w:t>
      </w:r>
      <w:r>
        <w:rPr>
          <w:rFonts w:ascii="Times New Roman" w:hAnsi="Times New Roman" w:cs="Times New Roman"/>
          <w:sz w:val="24"/>
          <w:szCs w:val="24"/>
        </w:rPr>
        <w:t>de conhecimento tecnológico, tornando</w:t>
      </w:r>
      <w:r w:rsidRPr="005B3772">
        <w:rPr>
          <w:rFonts w:ascii="Times New Roman" w:hAnsi="Times New Roman" w:cs="Times New Roman"/>
          <w:sz w:val="24"/>
          <w:szCs w:val="24"/>
        </w:rPr>
        <w:t xml:space="preserve"> mais difícil a análise dos impactos.</w:t>
      </w:r>
    </w:p>
    <w:p w:rsidR="00C6573C" w:rsidRDefault="00C6573C" w:rsidP="00740E2A">
      <w:pPr>
        <w:spacing w:line="360" w:lineRule="auto"/>
        <w:ind w:firstLine="708"/>
        <w:rPr>
          <w:rFonts w:ascii="Times New Roman" w:hAnsi="Times New Roman" w:cs="Times New Roman"/>
          <w:sz w:val="24"/>
          <w:szCs w:val="24"/>
        </w:rPr>
      </w:pPr>
      <w:r w:rsidRPr="005B3772">
        <w:rPr>
          <w:rFonts w:ascii="Times New Roman" w:hAnsi="Times New Roman" w:cs="Times New Roman"/>
          <w:sz w:val="24"/>
          <w:szCs w:val="24"/>
        </w:rPr>
        <w:t xml:space="preserve">Do ponto de vista concorrencial, a maior capacidade de coordenação </w:t>
      </w:r>
      <w:r w:rsidR="00115675">
        <w:rPr>
          <w:rFonts w:ascii="Times New Roman" w:hAnsi="Times New Roman" w:cs="Times New Roman"/>
          <w:sz w:val="24"/>
          <w:szCs w:val="24"/>
        </w:rPr>
        <w:t>entre as empresas produtoras</w:t>
      </w:r>
      <w:r>
        <w:rPr>
          <w:rFonts w:ascii="Times New Roman" w:hAnsi="Times New Roman" w:cs="Times New Roman"/>
          <w:sz w:val="24"/>
          <w:szCs w:val="24"/>
        </w:rPr>
        <w:t xml:space="preserve"> </w:t>
      </w:r>
      <w:r w:rsidRPr="005B3772">
        <w:rPr>
          <w:rFonts w:ascii="Times New Roman" w:hAnsi="Times New Roman" w:cs="Times New Roman"/>
          <w:sz w:val="24"/>
          <w:szCs w:val="24"/>
        </w:rPr>
        <w:t>pode se revelar prejudicial ao bem-estar social, pois aumenta o risco de colusão e de manutenção de preços elevados. Em uma estrutura industrial com baixa concorrência, torna-se mais difícil prever o comporta</w:t>
      </w:r>
      <w:r>
        <w:rPr>
          <w:rFonts w:ascii="Times New Roman" w:hAnsi="Times New Roman" w:cs="Times New Roman"/>
          <w:sz w:val="24"/>
          <w:szCs w:val="24"/>
        </w:rPr>
        <w:t>mento e o desempenho das firmas</w:t>
      </w:r>
      <w:r w:rsidRPr="005B3772">
        <w:rPr>
          <w:rFonts w:ascii="Times New Roman" w:hAnsi="Times New Roman" w:cs="Times New Roman"/>
          <w:sz w:val="24"/>
          <w:szCs w:val="24"/>
        </w:rPr>
        <w:t>. Por outro lado, a consolidação do capital tende a melhorar a capacidade de coordenação no setor para realizar investimentos importantes, além de melhorar o planejamento de fornecimento do combustível.</w:t>
      </w:r>
      <w:r w:rsidRPr="00A4604E">
        <w:rPr>
          <w:rFonts w:ascii="Times New Roman" w:hAnsi="Times New Roman" w:cs="Times New Roman"/>
          <w:sz w:val="24"/>
          <w:szCs w:val="24"/>
        </w:rPr>
        <w:t xml:space="preserve"> </w:t>
      </w:r>
      <w:r w:rsidRPr="00196658">
        <w:rPr>
          <w:rFonts w:ascii="Times New Roman" w:hAnsi="Times New Roman" w:cs="Times New Roman"/>
          <w:sz w:val="24"/>
          <w:szCs w:val="24"/>
        </w:rPr>
        <w:t>A</w:t>
      </w:r>
      <w:r>
        <w:rPr>
          <w:rFonts w:ascii="Times New Roman" w:hAnsi="Times New Roman" w:cs="Times New Roman"/>
          <w:sz w:val="24"/>
          <w:szCs w:val="24"/>
        </w:rPr>
        <w:t>lém disso, a</w:t>
      </w:r>
      <w:r w:rsidRPr="00196658">
        <w:rPr>
          <w:rFonts w:ascii="Times New Roman" w:hAnsi="Times New Roman" w:cs="Times New Roman"/>
          <w:sz w:val="24"/>
          <w:szCs w:val="24"/>
        </w:rPr>
        <w:t xml:space="preserve"> criação de </w:t>
      </w:r>
      <w:r>
        <w:rPr>
          <w:rFonts w:ascii="Times New Roman" w:hAnsi="Times New Roman" w:cs="Times New Roman"/>
          <w:i/>
          <w:sz w:val="24"/>
          <w:szCs w:val="24"/>
        </w:rPr>
        <w:t xml:space="preserve">joint </w:t>
      </w:r>
      <w:r w:rsidRPr="00196658">
        <w:rPr>
          <w:rFonts w:ascii="Times New Roman" w:hAnsi="Times New Roman" w:cs="Times New Roman"/>
          <w:i/>
          <w:sz w:val="24"/>
          <w:szCs w:val="24"/>
        </w:rPr>
        <w:t>ventures</w:t>
      </w:r>
      <w:r>
        <w:rPr>
          <w:rFonts w:ascii="Times New Roman" w:hAnsi="Times New Roman" w:cs="Times New Roman"/>
          <w:sz w:val="24"/>
          <w:szCs w:val="24"/>
        </w:rPr>
        <w:t xml:space="preserve"> </w:t>
      </w:r>
      <w:r w:rsidRPr="00196658">
        <w:rPr>
          <w:rFonts w:ascii="Times New Roman" w:hAnsi="Times New Roman" w:cs="Times New Roman"/>
          <w:sz w:val="24"/>
          <w:szCs w:val="24"/>
        </w:rPr>
        <w:t>permite que empresas locais se beneficiem da capacitação acumulada em pesquisa por empresas estrangeiras no desenvolvimento de novas tecnologias.</w:t>
      </w:r>
    </w:p>
    <w:p w:rsidR="00C6573C" w:rsidRDefault="00C6573C" w:rsidP="00C6573C">
      <w:pPr>
        <w:spacing w:line="360" w:lineRule="auto"/>
        <w:ind w:firstLine="708"/>
        <w:rPr>
          <w:rFonts w:ascii="Times New Roman" w:hAnsi="Times New Roman" w:cs="Times New Roman"/>
          <w:sz w:val="24"/>
          <w:szCs w:val="24"/>
        </w:rPr>
      </w:pPr>
      <w:r w:rsidRPr="009F65F8">
        <w:rPr>
          <w:rFonts w:ascii="Times New Roman" w:hAnsi="Times New Roman" w:cs="Times New Roman"/>
          <w:sz w:val="24"/>
          <w:szCs w:val="24"/>
        </w:rPr>
        <w:t>A</w:t>
      </w:r>
      <w:r>
        <w:rPr>
          <w:rFonts w:ascii="Times New Roman" w:hAnsi="Times New Roman" w:cs="Times New Roman"/>
          <w:sz w:val="24"/>
          <w:szCs w:val="24"/>
        </w:rPr>
        <w:t xml:space="preserve">pesar de ser </w:t>
      </w:r>
      <w:r w:rsidRPr="009F65F8">
        <w:rPr>
          <w:rFonts w:ascii="Times New Roman" w:hAnsi="Times New Roman" w:cs="Times New Roman"/>
          <w:sz w:val="24"/>
          <w:szCs w:val="24"/>
        </w:rPr>
        <w:t>fundamental</w:t>
      </w:r>
      <w:r>
        <w:rPr>
          <w:rFonts w:ascii="Times New Roman" w:hAnsi="Times New Roman" w:cs="Times New Roman"/>
          <w:sz w:val="24"/>
          <w:szCs w:val="24"/>
        </w:rPr>
        <w:t xml:space="preserve"> para a viabilidade econômica da produção de</w:t>
      </w:r>
      <w:r w:rsidRPr="009F65F8">
        <w:rPr>
          <w:rFonts w:ascii="Times New Roman" w:hAnsi="Times New Roman" w:cs="Times New Roman"/>
          <w:sz w:val="24"/>
          <w:szCs w:val="24"/>
        </w:rPr>
        <w:t xml:space="preserve"> etanol</w:t>
      </w:r>
      <w:r>
        <w:rPr>
          <w:rFonts w:ascii="Times New Roman" w:hAnsi="Times New Roman" w:cs="Times New Roman"/>
          <w:sz w:val="24"/>
          <w:szCs w:val="24"/>
        </w:rPr>
        <w:t>, a</w:t>
      </w:r>
      <w:r w:rsidRPr="009F65F8">
        <w:rPr>
          <w:rFonts w:ascii="Times New Roman" w:hAnsi="Times New Roman" w:cs="Times New Roman"/>
          <w:sz w:val="24"/>
          <w:szCs w:val="24"/>
        </w:rPr>
        <w:t xml:space="preserve"> análise da estrutura de custos na indústria sucroalcooleira é bastante complexa, pois envolve variá</w:t>
      </w:r>
      <w:r>
        <w:rPr>
          <w:rFonts w:ascii="Times New Roman" w:hAnsi="Times New Roman" w:cs="Times New Roman"/>
          <w:sz w:val="24"/>
          <w:szCs w:val="24"/>
        </w:rPr>
        <w:t>veis de alta volatilidade</w:t>
      </w:r>
      <w:r w:rsidRPr="009F65F8">
        <w:rPr>
          <w:rFonts w:ascii="Times New Roman" w:hAnsi="Times New Roman" w:cs="Times New Roman"/>
          <w:sz w:val="24"/>
          <w:szCs w:val="24"/>
        </w:rPr>
        <w:t>. Além de haver uma ampla variação nos valores de produtividade e nas tecnologias utilizadas, o principal componente do custo de produção do etanol é a matéria-prima</w:t>
      </w:r>
      <w:r>
        <w:rPr>
          <w:rFonts w:ascii="Times New Roman" w:hAnsi="Times New Roman" w:cs="Times New Roman"/>
          <w:sz w:val="24"/>
          <w:szCs w:val="24"/>
        </w:rPr>
        <w:t>, que, por sua vez, depende do custo da terra, intensidade de aplicação de defensivos agrícolas, tipos de equipamentos utilizados, além de aplicações alternativas, como a produção de açúcar</w:t>
      </w:r>
      <w:r w:rsidRPr="009F65F8">
        <w:rPr>
          <w:rFonts w:ascii="Times New Roman" w:hAnsi="Times New Roman" w:cs="Times New Roman"/>
          <w:sz w:val="24"/>
          <w:szCs w:val="24"/>
        </w:rPr>
        <w:t>.</w:t>
      </w:r>
      <w:r>
        <w:rPr>
          <w:rFonts w:ascii="Times New Roman" w:hAnsi="Times New Roman" w:cs="Times New Roman"/>
          <w:sz w:val="24"/>
          <w:szCs w:val="24"/>
        </w:rPr>
        <w:t xml:space="preserve"> </w:t>
      </w: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Em 2008, estimou-se que o custo do etanol de cana-de-açúcar no Brasil situava-se entre US$ 0,353 e US$ 0,406 por litro, com a ressalva de que, por um lado, nas novas usinas esse custo pode ser inferior pelo fato de os canaviais apresentarem maior densidade (implicando menores custos de transporte) e maior eficiência na geração de eletricidade, e por outro, as par</w:t>
      </w:r>
      <w:r w:rsidR="001E619C">
        <w:rPr>
          <w:rFonts w:ascii="Times New Roman" w:hAnsi="Times New Roman" w:cs="Times New Roman"/>
          <w:sz w:val="24"/>
          <w:szCs w:val="24"/>
        </w:rPr>
        <w:t>celas de amortização impõem</w:t>
      </w:r>
      <w:r>
        <w:rPr>
          <w:rFonts w:ascii="Times New Roman" w:hAnsi="Times New Roman" w:cs="Times New Roman"/>
          <w:sz w:val="24"/>
          <w:szCs w:val="24"/>
        </w:rPr>
        <w:t xml:space="preserve"> maiores custos financeiros </w:t>
      </w:r>
      <w:r w:rsidRPr="009F65F8">
        <w:rPr>
          <w:rFonts w:ascii="Times New Roman" w:hAnsi="Times New Roman" w:cs="Times New Roman"/>
          <w:sz w:val="24"/>
          <w:szCs w:val="24"/>
        </w:rPr>
        <w:t>(</w:t>
      </w:r>
      <w:r>
        <w:rPr>
          <w:rFonts w:ascii="Times New Roman" w:hAnsi="Times New Roman" w:cs="Times New Roman"/>
          <w:sz w:val="24"/>
          <w:szCs w:val="24"/>
        </w:rPr>
        <w:t xml:space="preserve">CGEE; </w:t>
      </w:r>
      <w:r w:rsidRPr="009F65F8">
        <w:rPr>
          <w:rFonts w:ascii="Times New Roman" w:hAnsi="Times New Roman" w:cs="Times New Roman"/>
          <w:sz w:val="24"/>
          <w:szCs w:val="24"/>
        </w:rPr>
        <w:t>BNDES, 2008)</w:t>
      </w:r>
      <w:r>
        <w:rPr>
          <w:rFonts w:ascii="Times New Roman" w:hAnsi="Times New Roman" w:cs="Times New Roman"/>
          <w:sz w:val="24"/>
          <w:szCs w:val="24"/>
        </w:rPr>
        <w:t xml:space="preserve">. </w:t>
      </w:r>
      <w:r>
        <w:rPr>
          <w:rFonts w:ascii="Times New Roman" w:hAnsi="Times New Roman" w:cs="Times New Roman"/>
          <w:sz w:val="24"/>
          <w:szCs w:val="24"/>
        </w:rPr>
        <w:lastRenderedPageBreak/>
        <w:t>Apesar de o custo de produção anunciado ter aumentado significativamente nos últimos quatro anos</w:t>
      </w:r>
      <w:r>
        <w:rPr>
          <w:rStyle w:val="Refdenotaderodap"/>
          <w:rFonts w:ascii="Times New Roman" w:hAnsi="Times New Roman" w:cs="Times New Roman"/>
          <w:sz w:val="24"/>
          <w:szCs w:val="24"/>
        </w:rPr>
        <w:footnoteReference w:id="10"/>
      </w:r>
      <w:r>
        <w:rPr>
          <w:rFonts w:ascii="Times New Roman" w:hAnsi="Times New Roman" w:cs="Times New Roman"/>
          <w:sz w:val="24"/>
          <w:szCs w:val="24"/>
        </w:rPr>
        <w:t>, o Brasil permanece como referência mundial de sucesso na produção e no consumo de etanol.</w:t>
      </w:r>
    </w:p>
    <w:p w:rsidR="00C6573C" w:rsidRPr="00457A98"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Tal sucesso se deve em grande parte aos ganhos de produtividade decorrentes do aprimoramento de espécies, aumento do teor de sacarose além do contínuo aumento dos benefícios ambientais, como a redução do uso de água e técnicas de conservação na agroindústria sucroenergética. Esses ganhos foram resultado de </w:t>
      </w:r>
      <w:r w:rsidRPr="007961C2">
        <w:rPr>
          <w:rFonts w:ascii="Times New Roman" w:hAnsi="Times New Roman" w:cs="Times New Roman"/>
          <w:sz w:val="24"/>
          <w:szCs w:val="24"/>
        </w:rPr>
        <w:t>uma ampla experiência acumulada facilitada tanto pela criação de instituições que apoiaram o desenvolvimento da indústria sucroalcooleira, como pelas condições favoráveis de cli</w:t>
      </w:r>
      <w:r>
        <w:rPr>
          <w:rFonts w:ascii="Times New Roman" w:hAnsi="Times New Roman" w:cs="Times New Roman"/>
          <w:sz w:val="24"/>
          <w:szCs w:val="24"/>
        </w:rPr>
        <w:t>ma e solo na região Centro-</w:t>
      </w:r>
      <w:r w:rsidRPr="00457A98">
        <w:rPr>
          <w:rFonts w:ascii="Times New Roman" w:hAnsi="Times New Roman" w:cs="Times New Roman"/>
          <w:sz w:val="24"/>
          <w:szCs w:val="24"/>
        </w:rPr>
        <w:t xml:space="preserve">Sul. </w:t>
      </w:r>
    </w:p>
    <w:p w:rsidR="00C6573C" w:rsidRPr="00457A98" w:rsidRDefault="00C6573C" w:rsidP="00C6573C">
      <w:pPr>
        <w:spacing w:line="360" w:lineRule="auto"/>
        <w:ind w:firstLine="708"/>
        <w:rPr>
          <w:rFonts w:ascii="Times New Roman" w:hAnsi="Times New Roman" w:cs="Times New Roman"/>
          <w:sz w:val="24"/>
          <w:szCs w:val="24"/>
          <w:lang w:val="pt-PT"/>
        </w:rPr>
      </w:pPr>
      <w:r w:rsidRPr="00457A98">
        <w:rPr>
          <w:rFonts w:ascii="Times New Roman" w:hAnsi="Times New Roman" w:cs="Times New Roman"/>
          <w:sz w:val="24"/>
          <w:szCs w:val="24"/>
        </w:rPr>
        <w:t>Grosso modo, o desenvolvimento da produção de etanol no Brasil se deu com base na implantação de uma tecnologia simples, seguida de inovações incrementais sobre essa mesma tecnologia e, posteriormente, na geração de novos conhecimentos dentro da trajetória tecnológica existente (DANTAS; FIGUEIREDO, 2009).</w:t>
      </w: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Macedo (2007) enfatiza que o extenso desenvolvimento tecnológico ocorreu por meio da geração própria, importação, adaptação e transferências de tecnologias, na produção (agrícola e industrial), na logística e no uso final, mas também que a legislação específica, bem como a negociação permanente entre os principais setores envolvidos – produtores, indústria automobilística, indústria do petróleo e regulação governamental, foi fundamental para tornar o etanol um ótimo exemplo de produção de energia renovável em grande escala. </w:t>
      </w:r>
    </w:p>
    <w:p w:rsidR="00C6573C" w:rsidRPr="00457A98" w:rsidRDefault="00C6573C" w:rsidP="00C6573C">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rPr>
        <w:t>De fato, a</w:t>
      </w:r>
      <w:r w:rsidRPr="007961C2">
        <w:rPr>
          <w:rFonts w:ascii="Times New Roman" w:hAnsi="Times New Roman" w:cs="Times New Roman"/>
          <w:sz w:val="24"/>
          <w:szCs w:val="24"/>
        </w:rPr>
        <w:t xml:space="preserve"> evolução dos parâmetros técnicos foi resultado dos esforços conjuntos do setor público com o setor privado. Instituições públicas, federais e estaduais, assim com</w:t>
      </w:r>
      <w:r>
        <w:rPr>
          <w:rFonts w:ascii="Times New Roman" w:hAnsi="Times New Roman" w:cs="Times New Roman"/>
          <w:sz w:val="24"/>
          <w:szCs w:val="24"/>
        </w:rPr>
        <w:t>o</w:t>
      </w:r>
      <w:r w:rsidRPr="007961C2">
        <w:rPr>
          <w:rFonts w:ascii="Times New Roman" w:hAnsi="Times New Roman" w:cs="Times New Roman"/>
          <w:sz w:val="24"/>
          <w:szCs w:val="24"/>
        </w:rPr>
        <w:t xml:space="preserve"> empresas privadas</w:t>
      </w:r>
      <w:r>
        <w:rPr>
          <w:rFonts w:ascii="Times New Roman" w:hAnsi="Times New Roman" w:cs="Times New Roman"/>
          <w:sz w:val="24"/>
          <w:szCs w:val="24"/>
        </w:rPr>
        <w:t>,</w:t>
      </w:r>
      <w:r w:rsidRPr="007961C2">
        <w:rPr>
          <w:rFonts w:ascii="Times New Roman" w:hAnsi="Times New Roman" w:cs="Times New Roman"/>
          <w:sz w:val="24"/>
          <w:szCs w:val="24"/>
        </w:rPr>
        <w:t xml:space="preserve"> </w:t>
      </w:r>
      <w:r>
        <w:rPr>
          <w:rFonts w:ascii="Times New Roman" w:hAnsi="Times New Roman" w:cs="Times New Roman"/>
          <w:sz w:val="24"/>
          <w:szCs w:val="24"/>
        </w:rPr>
        <w:t>desenharam uma curva de aprendizado responsável</w:t>
      </w:r>
      <w:r w:rsidRPr="007961C2">
        <w:rPr>
          <w:rFonts w:ascii="Times New Roman" w:hAnsi="Times New Roman" w:cs="Times New Roman"/>
          <w:sz w:val="24"/>
          <w:szCs w:val="24"/>
        </w:rPr>
        <w:t xml:space="preserve"> por sensíveis avanços</w:t>
      </w:r>
      <w:r>
        <w:rPr>
          <w:rFonts w:ascii="Times New Roman" w:hAnsi="Times New Roman" w:cs="Times New Roman"/>
          <w:sz w:val="24"/>
          <w:szCs w:val="24"/>
        </w:rPr>
        <w:t xml:space="preserve"> tecnológicos. </w:t>
      </w:r>
      <w:r w:rsidRPr="00457A98">
        <w:rPr>
          <w:rFonts w:ascii="Times New Roman" w:hAnsi="Times New Roman" w:cs="Times New Roman"/>
          <w:sz w:val="24"/>
          <w:szCs w:val="24"/>
        </w:rPr>
        <w:t>A influência de instituições como o CTC</w:t>
      </w:r>
      <w:r w:rsidR="0049287C">
        <w:rPr>
          <w:rFonts w:ascii="Times New Roman" w:hAnsi="Times New Roman" w:cs="Times New Roman"/>
          <w:sz w:val="24"/>
          <w:szCs w:val="24"/>
        </w:rPr>
        <w:t xml:space="preserve">, a RIDESA </w:t>
      </w:r>
      <w:r w:rsidRPr="00457A98">
        <w:rPr>
          <w:rFonts w:ascii="Times New Roman" w:hAnsi="Times New Roman" w:cs="Times New Roman"/>
          <w:sz w:val="24"/>
          <w:szCs w:val="24"/>
        </w:rPr>
        <w:t>e o IAC sobre a trajetória de acumulação tecnológica na produção de etanol no Br</w:t>
      </w:r>
      <w:r w:rsidR="0049287C">
        <w:rPr>
          <w:rFonts w:ascii="Times New Roman" w:hAnsi="Times New Roman" w:cs="Times New Roman"/>
          <w:sz w:val="24"/>
          <w:szCs w:val="24"/>
        </w:rPr>
        <w:t>asil nas últimas quatro décadas,</w:t>
      </w:r>
      <w:r>
        <w:rPr>
          <w:rFonts w:ascii="Times New Roman" w:hAnsi="Times New Roman" w:cs="Times New Roman"/>
          <w:sz w:val="24"/>
          <w:szCs w:val="24"/>
        </w:rPr>
        <w:t xml:space="preserve"> analisada em detalhes no estudo de</w:t>
      </w:r>
      <w:r w:rsidR="0049287C">
        <w:rPr>
          <w:rFonts w:ascii="Times New Roman" w:hAnsi="Times New Roman" w:cs="Times New Roman"/>
          <w:sz w:val="24"/>
          <w:szCs w:val="24"/>
        </w:rPr>
        <w:t xml:space="preserve"> Matias (2011), explica boa parte dos avanços conquistados pela indústria sucroalcooleira.</w:t>
      </w:r>
    </w:p>
    <w:p w:rsidR="00D83F27" w:rsidRDefault="00C6573C" w:rsidP="00D83F27">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Entre 1980 e 1990, destacam-se a introdução em larga escala de variedades da cana desenvolvidas no Brasil, </w:t>
      </w:r>
      <w:r w:rsidRPr="007961C2">
        <w:rPr>
          <w:rFonts w:ascii="Times New Roman" w:hAnsi="Times New Roman" w:cs="Times New Roman"/>
          <w:sz w:val="24"/>
          <w:szCs w:val="24"/>
        </w:rPr>
        <w:t>reciclagem de efluentes como a vinhaça (o mais importante</w:t>
      </w:r>
      <w:r>
        <w:rPr>
          <w:rFonts w:ascii="Times New Roman" w:hAnsi="Times New Roman" w:cs="Times New Roman"/>
          <w:sz w:val="24"/>
          <w:szCs w:val="24"/>
        </w:rPr>
        <w:t xml:space="preserve"> deles), </w:t>
      </w:r>
      <w:r>
        <w:rPr>
          <w:rFonts w:ascii="Times New Roman" w:hAnsi="Times New Roman" w:cs="Times New Roman"/>
          <w:sz w:val="24"/>
          <w:szCs w:val="24"/>
        </w:rPr>
        <w:lastRenderedPageBreak/>
        <w:t>adoção</w:t>
      </w:r>
      <w:r w:rsidRPr="007961C2">
        <w:rPr>
          <w:rFonts w:ascii="Times New Roman" w:hAnsi="Times New Roman" w:cs="Times New Roman"/>
          <w:sz w:val="24"/>
          <w:szCs w:val="24"/>
        </w:rPr>
        <w:t xml:space="preserve"> práticas de conservação agrícola de desempenho superior, </w:t>
      </w:r>
      <w:r>
        <w:rPr>
          <w:rFonts w:ascii="Times New Roman" w:hAnsi="Times New Roman" w:cs="Times New Roman"/>
          <w:sz w:val="24"/>
          <w:szCs w:val="24"/>
        </w:rPr>
        <w:t>controle biológico de pragas e especificações do etanol em motores E-100, bem como o transporte, mistura e armazenamento deste combustível</w:t>
      </w:r>
      <w:r w:rsidRPr="007961C2">
        <w:rPr>
          <w:rFonts w:ascii="Times New Roman" w:hAnsi="Times New Roman" w:cs="Times New Roman"/>
          <w:sz w:val="24"/>
          <w:szCs w:val="24"/>
        </w:rPr>
        <w:t xml:space="preserve"> (CGEE, 2005</w:t>
      </w:r>
      <w:r>
        <w:rPr>
          <w:rFonts w:ascii="Times New Roman" w:hAnsi="Times New Roman" w:cs="Times New Roman"/>
          <w:sz w:val="24"/>
          <w:szCs w:val="24"/>
        </w:rPr>
        <w:t xml:space="preserve">). </w:t>
      </w:r>
      <w:r w:rsidR="00D83F27">
        <w:rPr>
          <w:rFonts w:ascii="Times New Roman" w:hAnsi="Times New Roman" w:cs="Times New Roman"/>
          <w:sz w:val="24"/>
          <w:szCs w:val="24"/>
        </w:rPr>
        <w:t>Macedo (2007) destaca que n</w:t>
      </w:r>
      <w:r>
        <w:rPr>
          <w:rFonts w:ascii="Times New Roman" w:hAnsi="Times New Roman" w:cs="Times New Roman"/>
          <w:sz w:val="24"/>
          <w:szCs w:val="24"/>
        </w:rPr>
        <w:t xml:space="preserve">esse período, o foco dos avanços se voltou ao rápido aumento da produção, deixando a eficiência </w:t>
      </w:r>
      <w:r w:rsidR="00D83F27">
        <w:rPr>
          <w:rFonts w:ascii="Times New Roman" w:hAnsi="Times New Roman" w:cs="Times New Roman"/>
          <w:sz w:val="24"/>
          <w:szCs w:val="24"/>
        </w:rPr>
        <w:t xml:space="preserve">de conversão para segundo plano. </w:t>
      </w:r>
    </w:p>
    <w:p w:rsidR="00D83F27" w:rsidRDefault="004C6829" w:rsidP="004C6829">
      <w:pPr>
        <w:spacing w:line="360" w:lineRule="auto"/>
        <w:ind w:firstLine="708"/>
        <w:rPr>
          <w:rFonts w:ascii="Times New Roman" w:hAnsi="Times New Roman" w:cs="Times New Roman"/>
          <w:sz w:val="24"/>
          <w:szCs w:val="24"/>
        </w:rPr>
      </w:pPr>
      <w:r>
        <w:rPr>
          <w:rFonts w:ascii="Times New Roman" w:hAnsi="Times New Roman" w:cs="Times New Roman"/>
          <w:sz w:val="24"/>
          <w:szCs w:val="24"/>
        </w:rPr>
        <w:t>Entre 1990 e 2000, quando as garantias de preço deixaram de existir, os aumentos de eficiência passaram a desempenhar papel mais relevante</w:t>
      </w:r>
      <w:r w:rsidR="009A38F8">
        <w:rPr>
          <w:rFonts w:ascii="Times New Roman" w:hAnsi="Times New Roman" w:cs="Times New Roman"/>
          <w:sz w:val="24"/>
          <w:szCs w:val="24"/>
        </w:rPr>
        <w:t>. Investiu-se em maior automação industrial, gerenciamento técnico (agrícola e industrial)</w:t>
      </w:r>
      <w:r w:rsidR="00540BB0">
        <w:rPr>
          <w:rFonts w:ascii="Times New Roman" w:hAnsi="Times New Roman" w:cs="Times New Roman"/>
          <w:sz w:val="24"/>
          <w:szCs w:val="24"/>
        </w:rPr>
        <w:t>, otimização do corte, carregamento e transporte da cana, mecanização da colheita, mapeamento do genoma</w:t>
      </w:r>
      <w:r w:rsidR="00D83F27">
        <w:rPr>
          <w:rFonts w:ascii="Times New Roman" w:hAnsi="Times New Roman" w:cs="Times New Roman"/>
          <w:sz w:val="24"/>
          <w:szCs w:val="24"/>
        </w:rPr>
        <w:t xml:space="preserve"> da cana</w:t>
      </w:r>
      <w:r w:rsidR="00540BB0">
        <w:rPr>
          <w:rFonts w:ascii="Times New Roman" w:hAnsi="Times New Roman" w:cs="Times New Roman"/>
          <w:sz w:val="24"/>
          <w:szCs w:val="24"/>
        </w:rPr>
        <w:t xml:space="preserve"> e transformações genéticas</w:t>
      </w:r>
      <w:r w:rsidR="00D83F27">
        <w:rPr>
          <w:rFonts w:ascii="Times New Roman" w:hAnsi="Times New Roman" w:cs="Times New Roman"/>
          <w:sz w:val="24"/>
          <w:szCs w:val="24"/>
        </w:rPr>
        <w:t xml:space="preserve"> (MACEDO, 2007).</w:t>
      </w:r>
    </w:p>
    <w:p w:rsidR="00C6573C" w:rsidRDefault="004C6829" w:rsidP="004C6829">
      <w:pPr>
        <w:spacing w:line="360" w:lineRule="auto"/>
        <w:ind w:firstLine="708"/>
        <w:rPr>
          <w:rFonts w:ascii="Times New Roman" w:hAnsi="Times New Roman" w:cs="Times New Roman"/>
          <w:sz w:val="24"/>
          <w:szCs w:val="24"/>
        </w:rPr>
      </w:pPr>
      <w:r>
        <w:rPr>
          <w:rFonts w:ascii="Times New Roman" w:hAnsi="Times New Roman" w:cs="Times New Roman"/>
          <w:sz w:val="24"/>
          <w:szCs w:val="24"/>
        </w:rPr>
        <w:t>Além disso</w:t>
      </w:r>
      <w:r w:rsidR="00C6573C">
        <w:rPr>
          <w:rFonts w:ascii="Times New Roman" w:hAnsi="Times New Roman" w:cs="Times New Roman"/>
          <w:sz w:val="24"/>
          <w:szCs w:val="24"/>
        </w:rPr>
        <w:t xml:space="preserve">, a reforma de liberalização do setor elétrico ao longo dos anos 1990 permitiu a competição no segmento de </w:t>
      </w:r>
      <w:r>
        <w:rPr>
          <w:rFonts w:ascii="Times New Roman" w:hAnsi="Times New Roman" w:cs="Times New Roman"/>
          <w:sz w:val="24"/>
          <w:szCs w:val="24"/>
        </w:rPr>
        <w:t>geração e muit</w:t>
      </w:r>
      <w:r w:rsidR="00C6573C">
        <w:rPr>
          <w:rFonts w:ascii="Times New Roman" w:hAnsi="Times New Roman" w:cs="Times New Roman"/>
          <w:sz w:val="24"/>
          <w:szCs w:val="24"/>
        </w:rPr>
        <w:t>as usinas passaram a exportar o excedente de energia elétrica, produzida por sistemas de cogeração</w:t>
      </w:r>
      <w:r w:rsidR="00C6573C">
        <w:rPr>
          <w:rStyle w:val="Refdenotaderodap"/>
          <w:rFonts w:ascii="Times New Roman" w:hAnsi="Times New Roman" w:cs="Times New Roman"/>
          <w:sz w:val="24"/>
          <w:szCs w:val="24"/>
        </w:rPr>
        <w:footnoteReference w:id="11"/>
      </w:r>
      <w:r w:rsidR="00C6573C">
        <w:rPr>
          <w:rFonts w:ascii="Times New Roman" w:hAnsi="Times New Roman" w:cs="Times New Roman"/>
          <w:sz w:val="24"/>
          <w:szCs w:val="24"/>
        </w:rPr>
        <w:t>, ao Sistema N</w:t>
      </w:r>
      <w:r w:rsidR="009A38F8">
        <w:rPr>
          <w:rFonts w:ascii="Times New Roman" w:hAnsi="Times New Roman" w:cs="Times New Roman"/>
          <w:sz w:val="24"/>
          <w:szCs w:val="24"/>
        </w:rPr>
        <w:t>acional Interligado (CASTRO; DANTAS, 2008)</w:t>
      </w:r>
      <w:r w:rsidR="00540BB0">
        <w:rPr>
          <w:rFonts w:ascii="Times New Roman" w:hAnsi="Times New Roman" w:cs="Times New Roman"/>
          <w:sz w:val="24"/>
          <w:szCs w:val="24"/>
        </w:rPr>
        <w:t xml:space="preserve">. </w:t>
      </w: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Historicamente, o setor</w:t>
      </w:r>
      <w:r w:rsidR="0035189D">
        <w:rPr>
          <w:rFonts w:ascii="Times New Roman" w:hAnsi="Times New Roman" w:cs="Times New Roman"/>
          <w:sz w:val="24"/>
          <w:szCs w:val="24"/>
        </w:rPr>
        <w:t xml:space="preserve"> sucroalcooleiro</w:t>
      </w:r>
      <w:r>
        <w:rPr>
          <w:rFonts w:ascii="Times New Roman" w:hAnsi="Times New Roman" w:cs="Times New Roman"/>
          <w:sz w:val="24"/>
          <w:szCs w:val="24"/>
        </w:rPr>
        <w:t xml:space="preserve"> optou pela utilização de tecnologias de baixa eficiência</w:t>
      </w:r>
      <w:r w:rsidR="0035189D">
        <w:rPr>
          <w:rFonts w:ascii="Times New Roman" w:hAnsi="Times New Roman" w:cs="Times New Roman"/>
          <w:sz w:val="24"/>
          <w:szCs w:val="24"/>
        </w:rPr>
        <w:t xml:space="preserve"> nas caldeiras</w:t>
      </w:r>
      <w:r>
        <w:rPr>
          <w:rFonts w:ascii="Times New Roman" w:hAnsi="Times New Roman" w:cs="Times New Roman"/>
          <w:sz w:val="24"/>
          <w:szCs w:val="24"/>
        </w:rPr>
        <w:t xml:space="preserve"> porque o objetivo era maximizar a queima do bagaço devido à dificuldade de estocagem e remoção dessa matéria, além de não ser permitido exportar o excedente para a rede de distribuição (ISO, 2009). E</w:t>
      </w:r>
      <w:r w:rsidR="0035189D">
        <w:rPr>
          <w:rFonts w:ascii="Times New Roman" w:hAnsi="Times New Roman" w:cs="Times New Roman"/>
          <w:sz w:val="24"/>
          <w:szCs w:val="24"/>
        </w:rPr>
        <w:t>ntretanto, e</w:t>
      </w:r>
      <w:r>
        <w:rPr>
          <w:rFonts w:ascii="Times New Roman" w:hAnsi="Times New Roman" w:cs="Times New Roman"/>
          <w:sz w:val="24"/>
          <w:szCs w:val="24"/>
        </w:rPr>
        <w:t>studos apontam que se as usinas paulistas utilizassem caldeiras de 81 ba</w:t>
      </w:r>
      <w:r w:rsidR="00B15410">
        <w:rPr>
          <w:rFonts w:ascii="Times New Roman" w:hAnsi="Times New Roman" w:cs="Times New Roman"/>
          <w:sz w:val="24"/>
          <w:szCs w:val="24"/>
        </w:rPr>
        <w:t>r, em vez de 21 bar, haveria um</w:t>
      </w:r>
      <w:r>
        <w:rPr>
          <w:rFonts w:ascii="Times New Roman" w:hAnsi="Times New Roman" w:cs="Times New Roman"/>
          <w:sz w:val="24"/>
          <w:szCs w:val="24"/>
        </w:rPr>
        <w:t xml:space="preserve"> excedente comercializável médio de energia de 2.184 GWh mensais durante a safra 2001/2002, quando o racionamento de energia impôs uma redução média mensal de 2.155 GWh à região Sudeste (SOUZA, </w:t>
      </w:r>
      <w:r w:rsidRPr="00457A98">
        <w:rPr>
          <w:rFonts w:ascii="Times New Roman" w:hAnsi="Times New Roman" w:cs="Times New Roman"/>
          <w:sz w:val="24"/>
          <w:szCs w:val="24"/>
        </w:rPr>
        <w:t>2003 apud</w:t>
      </w:r>
      <w:r>
        <w:rPr>
          <w:rFonts w:ascii="Times New Roman" w:hAnsi="Times New Roman" w:cs="Times New Roman"/>
          <w:sz w:val="24"/>
          <w:szCs w:val="24"/>
        </w:rPr>
        <w:t xml:space="preserve"> CASTRO; DANTAS, 2008).  </w:t>
      </w: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Dado que o conflito entre segurança energética e sustentabilidade ambiental faz parte de uma conjuntura que favorece a inserção da bioeletricidade e dos biocombustíveis na matriz energética brasileira, a tendência é de que os equipamentos utilizados sejam gradativamente substituídos por outros de eficiência mais elevada. Assim como o aprimoramento do gerenciamento técnico, agrícola e industrial, a venda de bioeletricidade contribuiu e continuará tendo papel fundamental na elevação da produtividade e competitividade brasileiras no setor. </w:t>
      </w: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De modo geral,</w:t>
      </w:r>
      <w:r w:rsidRPr="001A0E99">
        <w:rPr>
          <w:rFonts w:ascii="Times New Roman" w:hAnsi="Times New Roman" w:cs="Times New Roman"/>
          <w:sz w:val="24"/>
          <w:szCs w:val="24"/>
        </w:rPr>
        <w:t xml:space="preserve"> </w:t>
      </w:r>
      <w:r>
        <w:rPr>
          <w:rFonts w:ascii="Times New Roman" w:hAnsi="Times New Roman" w:cs="Times New Roman"/>
          <w:sz w:val="24"/>
          <w:szCs w:val="24"/>
        </w:rPr>
        <w:t xml:space="preserve">os principais avanços mencionados foram incorporados pela indústria por meio da aquisição de máquinas e equipamentos, que representa um mecanismo eficaz de </w:t>
      </w:r>
      <w:r>
        <w:rPr>
          <w:rFonts w:ascii="Times New Roman" w:hAnsi="Times New Roman" w:cs="Times New Roman"/>
          <w:sz w:val="24"/>
          <w:szCs w:val="24"/>
        </w:rPr>
        <w:lastRenderedPageBreak/>
        <w:t>transferência de tecnologia. Entretanto, sobre a possibilidade de redução de custos com aplicação da tecnologia atual, Macedo e Nogueira (2004, p. 15) afirmam que estas serão modestas, dado que “o setor industrial deverá evoluir de forma mais destacada incorporando tecnologias mais radicalmente diferentes e certamente com a implementação de novos produtos”. C</w:t>
      </w:r>
      <w:r w:rsidRPr="00FA0306">
        <w:rPr>
          <w:rFonts w:ascii="Times New Roman" w:hAnsi="Times New Roman" w:cs="Times New Roman"/>
          <w:sz w:val="24"/>
          <w:szCs w:val="24"/>
        </w:rPr>
        <w:t xml:space="preserve">omo </w:t>
      </w:r>
      <w:r>
        <w:rPr>
          <w:rFonts w:ascii="Times New Roman" w:hAnsi="Times New Roman" w:cs="Times New Roman"/>
          <w:sz w:val="24"/>
          <w:szCs w:val="24"/>
        </w:rPr>
        <w:t>é realizado hoje, o</w:t>
      </w:r>
      <w:r w:rsidRPr="00FA0306">
        <w:rPr>
          <w:rFonts w:ascii="Times New Roman" w:hAnsi="Times New Roman" w:cs="Times New Roman"/>
          <w:sz w:val="24"/>
          <w:szCs w:val="24"/>
        </w:rPr>
        <w:t xml:space="preserve"> processamento industrial</w:t>
      </w:r>
      <w:r>
        <w:rPr>
          <w:rFonts w:ascii="Times New Roman" w:hAnsi="Times New Roman" w:cs="Times New Roman"/>
          <w:sz w:val="24"/>
          <w:szCs w:val="24"/>
        </w:rPr>
        <w:t xml:space="preserve"> da cana envolve</w:t>
      </w:r>
      <w:r w:rsidRPr="00FA0306">
        <w:rPr>
          <w:rFonts w:ascii="Times New Roman" w:hAnsi="Times New Roman" w:cs="Times New Roman"/>
          <w:sz w:val="24"/>
          <w:szCs w:val="24"/>
        </w:rPr>
        <w:t xml:space="preserve"> uma tecnologia que</w:t>
      </w:r>
      <w:r>
        <w:rPr>
          <w:rFonts w:ascii="Times New Roman" w:hAnsi="Times New Roman" w:cs="Times New Roman"/>
          <w:sz w:val="24"/>
          <w:szCs w:val="24"/>
        </w:rPr>
        <w:t>, mesmo tendo alcançado</w:t>
      </w:r>
      <w:r w:rsidRPr="003D6873">
        <w:rPr>
          <w:rFonts w:ascii="Times New Roman" w:hAnsi="Times New Roman" w:cs="Times New Roman"/>
          <w:sz w:val="24"/>
          <w:szCs w:val="24"/>
        </w:rPr>
        <w:t xml:space="preserve"> </w:t>
      </w:r>
      <w:r w:rsidRPr="00FA0306">
        <w:rPr>
          <w:rFonts w:ascii="Times New Roman" w:hAnsi="Times New Roman" w:cs="Times New Roman"/>
          <w:sz w:val="24"/>
          <w:szCs w:val="24"/>
        </w:rPr>
        <w:t xml:space="preserve">grandes avanços entre </w:t>
      </w:r>
      <w:r>
        <w:rPr>
          <w:rFonts w:ascii="Times New Roman" w:hAnsi="Times New Roman" w:cs="Times New Roman"/>
          <w:sz w:val="24"/>
          <w:szCs w:val="24"/>
        </w:rPr>
        <w:t>1970 e 1990,</w:t>
      </w:r>
      <w:r w:rsidRPr="00FA0306">
        <w:rPr>
          <w:rFonts w:ascii="Times New Roman" w:hAnsi="Times New Roman" w:cs="Times New Roman"/>
          <w:sz w:val="24"/>
          <w:szCs w:val="24"/>
        </w:rPr>
        <w:t xml:space="preserve"> nos últimos anos </w:t>
      </w:r>
      <w:r>
        <w:rPr>
          <w:rFonts w:ascii="Times New Roman" w:hAnsi="Times New Roman" w:cs="Times New Roman"/>
          <w:sz w:val="24"/>
          <w:szCs w:val="24"/>
        </w:rPr>
        <w:t xml:space="preserve">propiciou poucos </w:t>
      </w:r>
      <w:r w:rsidRPr="00FA0306">
        <w:rPr>
          <w:rFonts w:ascii="Times New Roman" w:hAnsi="Times New Roman" w:cs="Times New Roman"/>
          <w:sz w:val="24"/>
          <w:szCs w:val="24"/>
        </w:rPr>
        <w:t>ganhos de p</w:t>
      </w:r>
      <w:r>
        <w:rPr>
          <w:rFonts w:ascii="Times New Roman" w:hAnsi="Times New Roman" w:cs="Times New Roman"/>
          <w:sz w:val="24"/>
          <w:szCs w:val="24"/>
        </w:rPr>
        <w:t>rodutividade e eficiência e parece ter</w:t>
      </w:r>
      <w:r w:rsidRPr="00FA0306">
        <w:rPr>
          <w:rFonts w:ascii="Times New Roman" w:hAnsi="Times New Roman" w:cs="Times New Roman"/>
          <w:sz w:val="24"/>
          <w:szCs w:val="24"/>
        </w:rPr>
        <w:t xml:space="preserve"> ati</w:t>
      </w:r>
      <w:r>
        <w:rPr>
          <w:rFonts w:ascii="Times New Roman" w:hAnsi="Times New Roman" w:cs="Times New Roman"/>
          <w:sz w:val="24"/>
          <w:szCs w:val="24"/>
        </w:rPr>
        <w:t xml:space="preserve">ngido sua maturidade plena. </w:t>
      </w: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Nesse sentido, Dantas e Figueiredo (2009) verificam que a função de acúmulo de conhecimento, no âmbito do sistema de inovação em que está inserida a indústria sucroalcooleira, está passando por uma importante transição, caracterizada pela criação de uma variedade de alternativas tecnológicas e por múltiplos direcionamentos de busca por novas trajetórias tecnológicas. </w:t>
      </w:r>
    </w:p>
    <w:p w:rsidR="00C6573C" w:rsidRPr="00057D46" w:rsidRDefault="00C6573C" w:rsidP="00C6573C">
      <w:pPr>
        <w:spacing w:line="360" w:lineRule="auto"/>
        <w:ind w:firstLine="708"/>
        <w:rPr>
          <w:rFonts w:ascii="Times New Roman" w:hAnsi="Times New Roman" w:cs="Times New Roman"/>
          <w:sz w:val="24"/>
          <w:szCs w:val="24"/>
        </w:rPr>
      </w:pPr>
    </w:p>
    <w:p w:rsidR="00C6573C" w:rsidRPr="00740E2A" w:rsidRDefault="00C6573C" w:rsidP="00740E2A">
      <w:pPr>
        <w:pStyle w:val="Ttulo3"/>
      </w:pPr>
      <w:bookmarkStart w:id="35" w:name="_Toc330506343"/>
      <w:bookmarkStart w:id="36" w:name="_Toc333911345"/>
      <w:r w:rsidRPr="00740E2A">
        <w:t>2.1.2 Estrutura atual da indústria de biodiesel</w:t>
      </w:r>
      <w:bookmarkEnd w:id="35"/>
      <w:bookmarkEnd w:id="36"/>
    </w:p>
    <w:p w:rsidR="00C6573C" w:rsidRDefault="00C6573C" w:rsidP="00C6573C">
      <w:pPr>
        <w:spacing w:line="360" w:lineRule="auto"/>
        <w:rPr>
          <w:rFonts w:ascii="Times New Roman" w:hAnsi="Times New Roman" w:cs="Times New Roman"/>
          <w:sz w:val="24"/>
          <w:szCs w:val="24"/>
        </w:rPr>
      </w:pP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A produção mundial de biodiesel é bem menos concentrada do que a de etanol, sendo liderada pelos Estados Unidos e União Europeia. Os Estados Unidos produziram 3,3, bilhões de litros em 2011, volume ligeiramente superior ao da Alemanha, segundo maior produtor (3,2 bilhões de litros, no mesmo ano) (MME, 2012). A principal matéria-prima utilizada pelos norte-americanos é o óleo de soja, apesar de o governo também oferecer incentivos para a utilização de óleo reciclado.</w:t>
      </w:r>
    </w:p>
    <w:p w:rsidR="00C6573C" w:rsidRDefault="00C6573C" w:rsidP="00C6573C">
      <w:pPr>
        <w:spacing w:line="360" w:lineRule="auto"/>
        <w:ind w:firstLine="708"/>
        <w:rPr>
          <w:rFonts w:ascii="Times New Roman" w:hAnsi="Times New Roman" w:cs="Times New Roman"/>
          <w:sz w:val="24"/>
          <w:szCs w:val="24"/>
        </w:rPr>
      </w:pPr>
      <w:r w:rsidRPr="00DC2CC2">
        <w:rPr>
          <w:rFonts w:ascii="Times New Roman" w:hAnsi="Times New Roman" w:cs="Times New Roman"/>
          <w:sz w:val="24"/>
          <w:szCs w:val="24"/>
        </w:rPr>
        <w:t>No bloco</w:t>
      </w:r>
      <w:r>
        <w:rPr>
          <w:rFonts w:ascii="Times New Roman" w:hAnsi="Times New Roman" w:cs="Times New Roman"/>
          <w:sz w:val="24"/>
          <w:szCs w:val="24"/>
        </w:rPr>
        <w:t xml:space="preserve"> europeu, além da Alemanha, destacam-se França e Espanha, com produção correspondente a 1,6 bilhão de litros e 700 milhões de litros, respectivamente.</w:t>
      </w:r>
      <w:r w:rsidRPr="00DC2CC2">
        <w:rPr>
          <w:rFonts w:ascii="Times New Roman" w:hAnsi="Times New Roman" w:cs="Times New Roman"/>
          <w:sz w:val="24"/>
          <w:szCs w:val="24"/>
        </w:rPr>
        <w:t xml:space="preserve"> </w:t>
      </w:r>
      <w:r>
        <w:rPr>
          <w:rFonts w:ascii="Times New Roman" w:hAnsi="Times New Roman" w:cs="Times New Roman"/>
          <w:sz w:val="24"/>
          <w:szCs w:val="24"/>
        </w:rPr>
        <w:t>Cabe lembrar que a preferência europeia pelo biodiesel se deve ao fato de sua frota utilizar o diesel e não a gasolina, como no Brasil e Estados Unidos. Mesmo sendo líderes globais, os países europeus são grandes importadores do biocombustível, principalmente devido às metas de utilização de combustíveis renováveis até 2020 (BOMTEMPO, 2009). Ao longo das próximas décadas, a participação do biodiesel no consumo de biocombustíveis na região deve diminuir ligeiramente, mas permanece elevada, em torno de 70% (AIE, 2010).</w:t>
      </w:r>
      <w:r w:rsidRPr="00DC2CC2">
        <w:rPr>
          <w:rFonts w:ascii="Times New Roman" w:hAnsi="Times New Roman" w:cs="Times New Roman"/>
          <w:sz w:val="24"/>
          <w:szCs w:val="24"/>
        </w:rPr>
        <w:t xml:space="preserve"> </w:t>
      </w:r>
      <w:r>
        <w:rPr>
          <w:rFonts w:ascii="Times New Roman" w:hAnsi="Times New Roman" w:cs="Times New Roman"/>
          <w:sz w:val="24"/>
          <w:szCs w:val="24"/>
        </w:rPr>
        <w:t xml:space="preserve">A maior parte do óleo vegetal utilizado pelos europeus provém do cultivo de colza. Já a produção de biodiesel na Argentina e Indonésia (3º e 8º maiores produtores mundiais), se destina à exportação e utiliza o óleo de soja e de palma, respectivamente, como matéria-prima. </w:t>
      </w: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Há diferentes processos pelos quais se pode produzir o biodiesel, entre eles o craqueamento térmico, a esterificação e a transesterificação, sendo este último o mais </w:t>
      </w:r>
      <w:r>
        <w:rPr>
          <w:rFonts w:ascii="Times New Roman" w:hAnsi="Times New Roman" w:cs="Times New Roman"/>
          <w:sz w:val="24"/>
          <w:szCs w:val="24"/>
        </w:rPr>
        <w:lastRenderedPageBreak/>
        <w:t xml:space="preserve">difundido no mundo e no Brasil. Na transesterificação, utiliza-se um óleo vegetal ou gordura animal </w:t>
      </w:r>
      <w:r w:rsidR="00197BA6">
        <w:rPr>
          <w:rFonts w:ascii="Times New Roman" w:hAnsi="Times New Roman" w:cs="Times New Roman"/>
          <w:sz w:val="24"/>
          <w:szCs w:val="24"/>
        </w:rPr>
        <w:t xml:space="preserve">em reação com álcool (em geral, metanol) em presença de </w:t>
      </w:r>
      <w:r>
        <w:rPr>
          <w:rFonts w:ascii="Times New Roman" w:hAnsi="Times New Roman" w:cs="Times New Roman"/>
          <w:sz w:val="24"/>
          <w:szCs w:val="24"/>
        </w:rPr>
        <w:t xml:space="preserve">um catalisador (hidróxido de sódio ou hidróxido de potássio), obtendo-se um éster (biodiesel) e glicerina (PRATES </w:t>
      </w:r>
      <w:r w:rsidRPr="00772899">
        <w:rPr>
          <w:rFonts w:ascii="Times New Roman" w:hAnsi="Times New Roman" w:cs="Times New Roman"/>
          <w:sz w:val="24"/>
          <w:szCs w:val="24"/>
        </w:rPr>
        <w:t>et al.,</w:t>
      </w:r>
      <w:r>
        <w:rPr>
          <w:rFonts w:ascii="Times New Roman" w:hAnsi="Times New Roman" w:cs="Times New Roman"/>
          <w:sz w:val="24"/>
          <w:szCs w:val="24"/>
        </w:rPr>
        <w:t xml:space="preserve"> 2007). Diferentemente do que ocorre na indústria do etanol, não existe nenhuma referência mundial de eficiência e competitividade na produç</w:t>
      </w:r>
      <w:r w:rsidR="00284621">
        <w:rPr>
          <w:rFonts w:ascii="Times New Roman" w:hAnsi="Times New Roman" w:cs="Times New Roman"/>
          <w:sz w:val="24"/>
          <w:szCs w:val="24"/>
        </w:rPr>
        <w:t>ão de biodiesel. Cada país procura</w:t>
      </w:r>
      <w:r>
        <w:rPr>
          <w:rFonts w:ascii="Times New Roman" w:hAnsi="Times New Roman" w:cs="Times New Roman"/>
          <w:sz w:val="24"/>
          <w:szCs w:val="24"/>
        </w:rPr>
        <w:t xml:space="preserve"> atingir objetivos diferentes (consumo interno, exportação, ou ambos), com escalas de produção bastante distintas, e explorar suas aptidões agrícolas na busca de uma matéria-prima ideal. Com isso, a indústria mundial de biodiesel se apresenta bem menos consolidada que a de etanol (BOMTEMPO, 2009).</w:t>
      </w: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O Brasil é o quarto maior produtor mundial de biodiesel, com produção de 2,7 bilhões de litros em 2011. Entre os</w:t>
      </w:r>
      <w:r w:rsidRPr="00386FEA">
        <w:rPr>
          <w:rFonts w:ascii="Times New Roman" w:hAnsi="Times New Roman" w:cs="Times New Roman"/>
          <w:sz w:val="24"/>
          <w:szCs w:val="24"/>
        </w:rPr>
        <w:t xml:space="preserve"> principais insumos</w:t>
      </w:r>
      <w:r>
        <w:rPr>
          <w:rFonts w:ascii="Times New Roman" w:hAnsi="Times New Roman" w:cs="Times New Roman"/>
          <w:sz w:val="24"/>
          <w:szCs w:val="24"/>
        </w:rPr>
        <w:t xml:space="preserve"> estão</w:t>
      </w:r>
      <w:r w:rsidRPr="00386FEA">
        <w:rPr>
          <w:rFonts w:ascii="Times New Roman" w:hAnsi="Times New Roman" w:cs="Times New Roman"/>
          <w:sz w:val="24"/>
          <w:szCs w:val="24"/>
        </w:rPr>
        <w:t xml:space="preserve"> o óleo de soja (74,54%), a gordura bovina (15,63%) e o óleo de algodão (7,72%)</w:t>
      </w:r>
      <w:r>
        <w:rPr>
          <w:rFonts w:ascii="Times New Roman" w:hAnsi="Times New Roman" w:cs="Times New Roman"/>
          <w:sz w:val="24"/>
          <w:szCs w:val="24"/>
        </w:rPr>
        <w:t xml:space="preserve"> (ANP, 2012)</w:t>
      </w:r>
      <w:r w:rsidRPr="00386FEA">
        <w:rPr>
          <w:rFonts w:ascii="Times New Roman" w:hAnsi="Times New Roman" w:cs="Times New Roman"/>
          <w:sz w:val="24"/>
          <w:szCs w:val="24"/>
        </w:rPr>
        <w:t>. Ele é adicionado ao diesel de petróleo em proporções que têm variado de acordo com a legislação vigente e hoje é de 5%.</w:t>
      </w: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Apesar de haver iniciativas de empresas e programas governamentais de fomento para produção de óleos vegetais alternativos, como o de dendê, eles produzirão efeitos somente no médio prazo. Nos próximos anos, o óleo de soja continuará sendo a principal matéria-prima na produção de biodiesel no país (EPE, 2010). Já o álcool utilizado, em geral, é o metílico, havendo poucas tentativas de substituí-lo pelo etanol, aproveitando a sua produção doméstica</w:t>
      </w:r>
      <w:r>
        <w:rPr>
          <w:rStyle w:val="Refdenotaderodap"/>
          <w:rFonts w:ascii="Times New Roman" w:hAnsi="Times New Roman" w:cs="Times New Roman"/>
          <w:sz w:val="24"/>
          <w:szCs w:val="24"/>
        </w:rPr>
        <w:footnoteReference w:id="12"/>
      </w:r>
      <w:r>
        <w:rPr>
          <w:rFonts w:ascii="Times New Roman" w:hAnsi="Times New Roman" w:cs="Times New Roman"/>
          <w:sz w:val="24"/>
          <w:szCs w:val="24"/>
        </w:rPr>
        <w:t>.</w:t>
      </w:r>
      <w:r w:rsidRPr="004D5FBD">
        <w:t xml:space="preserve"> </w:t>
      </w:r>
      <w:r w:rsidRPr="009363B8">
        <w:rPr>
          <w:rFonts w:ascii="Times New Roman" w:hAnsi="Times New Roman" w:cs="Times New Roman"/>
          <w:sz w:val="24"/>
          <w:szCs w:val="24"/>
        </w:rPr>
        <w:t xml:space="preserve">A Fertibom é um dos poucos produtores que realizaram desenvolvimentos tecnológicos próprios, sendo capazes de produzir biodiesel pela rota etílica atualmente (ARANDA, 2009 </w:t>
      </w:r>
      <w:r w:rsidRPr="007D0E36">
        <w:rPr>
          <w:rFonts w:ascii="Times New Roman" w:hAnsi="Times New Roman" w:cs="Times New Roman"/>
          <w:sz w:val="24"/>
          <w:szCs w:val="24"/>
        </w:rPr>
        <w:t xml:space="preserve">apud </w:t>
      </w:r>
      <w:r>
        <w:rPr>
          <w:rFonts w:ascii="Times New Roman" w:hAnsi="Times New Roman" w:cs="Times New Roman"/>
          <w:sz w:val="24"/>
          <w:szCs w:val="24"/>
        </w:rPr>
        <w:t>BOMTEMPO, 2009</w:t>
      </w:r>
      <w:r w:rsidRPr="009363B8">
        <w:rPr>
          <w:rFonts w:ascii="Times New Roman" w:hAnsi="Times New Roman" w:cs="Times New Roman"/>
          <w:sz w:val="24"/>
          <w:szCs w:val="24"/>
        </w:rPr>
        <w:t>).</w:t>
      </w: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De modo geral, a indústria brasileira de biodiesel ainda apresenta baixo grau de maturidade, tendo se desenvolvido a partir de 2005, com base nos mandatos de mistura obrigatória previstos no </w:t>
      </w:r>
      <w:r w:rsidR="00284621">
        <w:rPr>
          <w:rFonts w:ascii="Times New Roman" w:hAnsi="Times New Roman" w:cs="Times New Roman"/>
          <w:sz w:val="24"/>
          <w:szCs w:val="24"/>
        </w:rPr>
        <w:t>Programa Nacional de Produção e Uso de Biodiesel (</w:t>
      </w:r>
      <w:r>
        <w:rPr>
          <w:rFonts w:ascii="Times New Roman" w:hAnsi="Times New Roman" w:cs="Times New Roman"/>
          <w:sz w:val="24"/>
          <w:szCs w:val="24"/>
        </w:rPr>
        <w:t>PNPB</w:t>
      </w:r>
      <w:r w:rsidR="00284621">
        <w:rPr>
          <w:rFonts w:ascii="Times New Roman" w:hAnsi="Times New Roman" w:cs="Times New Roman"/>
          <w:sz w:val="24"/>
          <w:szCs w:val="24"/>
        </w:rPr>
        <w:t>)</w:t>
      </w:r>
      <w:r>
        <w:rPr>
          <w:rFonts w:ascii="Times New Roman" w:hAnsi="Times New Roman" w:cs="Times New Roman"/>
          <w:sz w:val="24"/>
          <w:szCs w:val="24"/>
        </w:rPr>
        <w:t>, uma vez que o preço desse biocombustível sempre foi superior ao do diesel mineral. Os investimentos privados responderam rapidamente à política de estímulos e já em 2012 o Brasil pode ultrapassar a Alemanha, tornando-se líder mundial na produção de biodiesel</w:t>
      </w:r>
      <w:r>
        <w:rPr>
          <w:rStyle w:val="Refdenotaderodap"/>
          <w:rFonts w:ascii="Times New Roman" w:hAnsi="Times New Roman" w:cs="Times New Roman"/>
          <w:sz w:val="24"/>
          <w:szCs w:val="24"/>
        </w:rPr>
        <w:footnoteReference w:id="13"/>
      </w:r>
      <w:r>
        <w:rPr>
          <w:rFonts w:ascii="Times New Roman" w:hAnsi="Times New Roman" w:cs="Times New Roman"/>
          <w:sz w:val="24"/>
          <w:szCs w:val="24"/>
        </w:rPr>
        <w:t>.</w:t>
      </w:r>
    </w:p>
    <w:p w:rsidR="00C6573C" w:rsidRPr="004B2547"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lang w:val="pt-PT"/>
        </w:rPr>
        <w:t xml:space="preserve">Assim como na indústria sucroalcooleira, que depende de uma matéria-prima agrícola, a produção de biodiesel pode estar verticalmente integrada, incluindo as atividades de cultivo e comercialização da oleaginosa, o esmagamento do grão e produção do óleo vegetal e, por fim, a produção do biodiesel a partir do óleo. </w:t>
      </w:r>
      <w:r w:rsidRPr="0041759A">
        <w:rPr>
          <w:rFonts w:ascii="Times New Roman" w:hAnsi="Times New Roman" w:cs="Times New Roman"/>
          <w:sz w:val="24"/>
          <w:szCs w:val="24"/>
          <w:lang w:val="pt-PT"/>
        </w:rPr>
        <w:t>As empresas inteiramente integradas</w:t>
      </w:r>
      <w:r>
        <w:rPr>
          <w:rFonts w:ascii="Times New Roman" w:hAnsi="Times New Roman" w:cs="Times New Roman"/>
          <w:sz w:val="24"/>
          <w:szCs w:val="24"/>
          <w:lang w:val="pt-PT"/>
        </w:rPr>
        <w:t xml:space="preserve"> têm a </w:t>
      </w:r>
      <w:r>
        <w:rPr>
          <w:rFonts w:ascii="Times New Roman" w:hAnsi="Times New Roman" w:cs="Times New Roman"/>
          <w:sz w:val="24"/>
          <w:szCs w:val="24"/>
          <w:lang w:val="pt-PT"/>
        </w:rPr>
        <w:lastRenderedPageBreak/>
        <w:t>o</w:t>
      </w:r>
      <w:r w:rsidRPr="0041759A">
        <w:rPr>
          <w:rFonts w:ascii="Times New Roman" w:hAnsi="Times New Roman" w:cs="Times New Roman"/>
          <w:sz w:val="24"/>
          <w:szCs w:val="24"/>
        </w:rPr>
        <w:t>pção de vender</w:t>
      </w:r>
      <w:r>
        <w:rPr>
          <w:rFonts w:ascii="Times New Roman" w:hAnsi="Times New Roman" w:cs="Times New Roman"/>
          <w:sz w:val="24"/>
          <w:szCs w:val="24"/>
        </w:rPr>
        <w:t xml:space="preserve"> qualquer um dos três produtos, podendo b</w:t>
      </w:r>
      <w:r w:rsidRPr="0041759A">
        <w:rPr>
          <w:rFonts w:ascii="Times New Roman" w:hAnsi="Times New Roman" w:cs="Times New Roman"/>
          <w:sz w:val="24"/>
          <w:szCs w:val="24"/>
        </w:rPr>
        <w:t>usca</w:t>
      </w:r>
      <w:r>
        <w:rPr>
          <w:rFonts w:ascii="Times New Roman" w:hAnsi="Times New Roman" w:cs="Times New Roman"/>
          <w:sz w:val="24"/>
          <w:szCs w:val="24"/>
        </w:rPr>
        <w:t xml:space="preserve">r </w:t>
      </w:r>
      <w:r w:rsidRPr="0041759A">
        <w:rPr>
          <w:rFonts w:ascii="Times New Roman" w:hAnsi="Times New Roman" w:cs="Times New Roman"/>
          <w:sz w:val="24"/>
          <w:szCs w:val="24"/>
        </w:rPr>
        <w:t>as melhores mar</w:t>
      </w:r>
      <w:r>
        <w:rPr>
          <w:rFonts w:ascii="Times New Roman" w:hAnsi="Times New Roman" w:cs="Times New Roman"/>
          <w:sz w:val="24"/>
          <w:szCs w:val="24"/>
        </w:rPr>
        <w:t xml:space="preserve">gens no mercado naquele momento. Com isso, conseguem ser mais competitivas que as concorrentes parcialmente ou não integradas (MENDES; COSTA, 2010). </w:t>
      </w:r>
    </w:p>
    <w:p w:rsidR="00C6573C" w:rsidRDefault="00C6573C" w:rsidP="00C6573C">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A escala eficiente na</w:t>
      </w:r>
      <w:r w:rsidRPr="001F4DC7">
        <w:rPr>
          <w:rFonts w:ascii="Times New Roman" w:hAnsi="Times New Roman" w:cs="Times New Roman"/>
          <w:sz w:val="24"/>
          <w:szCs w:val="24"/>
          <w:lang w:val="pt-PT"/>
        </w:rPr>
        <w:t xml:space="preserve"> produção </w:t>
      </w:r>
      <w:r>
        <w:rPr>
          <w:rFonts w:ascii="Times New Roman" w:hAnsi="Times New Roman" w:cs="Times New Roman"/>
          <w:sz w:val="24"/>
          <w:szCs w:val="24"/>
          <w:lang w:val="pt-PT"/>
        </w:rPr>
        <w:t xml:space="preserve">de biodiesel ainda </w:t>
      </w:r>
      <w:r w:rsidRPr="001F4DC7">
        <w:rPr>
          <w:rFonts w:ascii="Times New Roman" w:hAnsi="Times New Roman" w:cs="Times New Roman"/>
          <w:sz w:val="24"/>
          <w:szCs w:val="24"/>
          <w:lang w:val="pt-PT"/>
        </w:rPr>
        <w:t>não</w:t>
      </w:r>
      <w:r>
        <w:rPr>
          <w:rFonts w:ascii="Times New Roman" w:hAnsi="Times New Roman" w:cs="Times New Roman"/>
          <w:sz w:val="24"/>
          <w:szCs w:val="24"/>
          <w:lang w:val="pt-PT"/>
        </w:rPr>
        <w:t xml:space="preserve"> é definida. Em 2007, uma planta de capacidade 100.000 t/ano era considerada</w:t>
      </w:r>
      <w:r w:rsidRPr="001F4DC7">
        <w:rPr>
          <w:rFonts w:ascii="Times New Roman" w:hAnsi="Times New Roman" w:cs="Times New Roman"/>
          <w:sz w:val="24"/>
          <w:szCs w:val="24"/>
          <w:lang w:val="pt-PT"/>
        </w:rPr>
        <w:t xml:space="preserve"> grande</w:t>
      </w:r>
      <w:r>
        <w:rPr>
          <w:rFonts w:ascii="Times New Roman" w:hAnsi="Times New Roman" w:cs="Times New Roman"/>
          <w:sz w:val="24"/>
          <w:szCs w:val="24"/>
          <w:lang w:val="pt-PT"/>
        </w:rPr>
        <w:t xml:space="preserve"> para padrões brasileiros e</w:t>
      </w:r>
      <w:r w:rsidRPr="00681AF2">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alguns projetos optavam por </w:t>
      </w:r>
      <w:r w:rsidRPr="001F4DC7">
        <w:rPr>
          <w:rFonts w:ascii="Times New Roman" w:hAnsi="Times New Roman" w:cs="Times New Roman"/>
          <w:sz w:val="24"/>
          <w:szCs w:val="24"/>
          <w:lang w:val="pt-PT"/>
        </w:rPr>
        <w:t>plantas com capa</w:t>
      </w:r>
      <w:r>
        <w:rPr>
          <w:rFonts w:ascii="Times New Roman" w:hAnsi="Times New Roman" w:cs="Times New Roman"/>
          <w:sz w:val="24"/>
          <w:szCs w:val="24"/>
          <w:lang w:val="pt-PT"/>
        </w:rPr>
        <w:t>cidade entre 10 mil e 20 mil t</w:t>
      </w:r>
      <w:r w:rsidRPr="001F4DC7">
        <w:rPr>
          <w:rFonts w:ascii="Times New Roman" w:hAnsi="Times New Roman" w:cs="Times New Roman"/>
          <w:sz w:val="24"/>
          <w:szCs w:val="24"/>
          <w:lang w:val="pt-PT"/>
        </w:rPr>
        <w:t>/ano, buscando aproveitar vantagens provenientes da flexibilidade de matéria-prima</w:t>
      </w:r>
      <w:r>
        <w:rPr>
          <w:rFonts w:ascii="Times New Roman" w:hAnsi="Times New Roman" w:cs="Times New Roman"/>
          <w:sz w:val="24"/>
          <w:szCs w:val="24"/>
          <w:lang w:val="pt-PT"/>
        </w:rPr>
        <w:t xml:space="preserve"> (</w:t>
      </w:r>
      <w:r w:rsidRPr="00772899">
        <w:rPr>
          <w:rFonts w:ascii="Times New Roman" w:hAnsi="Times New Roman" w:cs="Times New Roman"/>
          <w:sz w:val="24"/>
          <w:szCs w:val="24"/>
          <w:lang w:val="pt-PT"/>
        </w:rPr>
        <w:t>ALMEIDA et al</w:t>
      </w:r>
      <w:r w:rsidRPr="00900353">
        <w:rPr>
          <w:rFonts w:ascii="Times New Roman" w:hAnsi="Times New Roman" w:cs="Times New Roman"/>
          <w:i/>
          <w:sz w:val="24"/>
          <w:szCs w:val="24"/>
          <w:lang w:val="pt-PT"/>
        </w:rPr>
        <w:t>.</w:t>
      </w:r>
      <w:r>
        <w:rPr>
          <w:rFonts w:ascii="Times New Roman" w:hAnsi="Times New Roman" w:cs="Times New Roman"/>
          <w:sz w:val="24"/>
          <w:szCs w:val="24"/>
          <w:lang w:val="pt-PT"/>
        </w:rPr>
        <w:t>, 2007). Mais recentemente, a capacidade média das plantas já girava em torno das 100.000 t/ano. Esse aumento do tamanho médio das unidades industriais é possivelmente uma antecipação dos produtores à elevação da porcentagem de mistura obrigatória e um posicionamento para atender o mercado externo, porém tem gerado ineficiências (MENDES; COSTA, 2010).</w:t>
      </w:r>
    </w:p>
    <w:p w:rsidR="00C6573C" w:rsidRPr="003C4EDA" w:rsidRDefault="00C6573C" w:rsidP="00C6573C">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Segundo Aran</w:t>
      </w:r>
      <w:r w:rsidR="00CA6875">
        <w:rPr>
          <w:rFonts w:ascii="Times New Roman" w:hAnsi="Times New Roman" w:cs="Times New Roman"/>
          <w:sz w:val="24"/>
          <w:szCs w:val="24"/>
          <w:lang w:val="pt-PT"/>
        </w:rPr>
        <w:t>da (</w:t>
      </w:r>
      <w:r w:rsidR="00146308">
        <w:rPr>
          <w:rFonts w:ascii="Times New Roman" w:hAnsi="Times New Roman" w:cs="Times New Roman"/>
          <w:sz w:val="24"/>
          <w:szCs w:val="24"/>
          <w:lang w:val="pt-PT"/>
        </w:rPr>
        <w:t xml:space="preserve">2006 </w:t>
      </w:r>
      <w:r>
        <w:rPr>
          <w:rFonts w:ascii="Times New Roman" w:hAnsi="Times New Roman" w:cs="Times New Roman"/>
          <w:sz w:val="24"/>
          <w:szCs w:val="24"/>
          <w:lang w:val="pt-PT"/>
        </w:rPr>
        <w:t>apud ALMEIDA et al. 2007)</w:t>
      </w:r>
      <w:r w:rsidRPr="001F4DC7">
        <w:rPr>
          <w:rFonts w:ascii="Times New Roman" w:hAnsi="Times New Roman" w:cs="Times New Roman"/>
          <w:sz w:val="24"/>
          <w:szCs w:val="24"/>
          <w:lang w:val="pt-PT"/>
        </w:rPr>
        <w:t>, a tecnologia de plantas de biodiesel apresenta significantes economias de escala: o preço de plant</w:t>
      </w:r>
      <w:r>
        <w:rPr>
          <w:rFonts w:ascii="Times New Roman" w:hAnsi="Times New Roman" w:cs="Times New Roman"/>
          <w:sz w:val="24"/>
          <w:szCs w:val="24"/>
          <w:lang w:val="pt-PT"/>
        </w:rPr>
        <w:t>as com capacidade de 100 mil t</w:t>
      </w:r>
      <w:r w:rsidRPr="001F4DC7">
        <w:rPr>
          <w:rFonts w:ascii="Times New Roman" w:hAnsi="Times New Roman" w:cs="Times New Roman"/>
          <w:sz w:val="24"/>
          <w:szCs w:val="24"/>
          <w:lang w:val="pt-PT"/>
        </w:rPr>
        <w:t>/ano é apenas 18% maior</w:t>
      </w:r>
      <w:r>
        <w:rPr>
          <w:rFonts w:ascii="Times New Roman" w:hAnsi="Times New Roman" w:cs="Times New Roman"/>
          <w:sz w:val="24"/>
          <w:szCs w:val="24"/>
          <w:lang w:val="pt-PT"/>
        </w:rPr>
        <w:t xml:space="preserve"> que o de plantas com 50 mil t</w:t>
      </w:r>
      <w:r w:rsidRPr="001F4DC7">
        <w:rPr>
          <w:rFonts w:ascii="Times New Roman" w:hAnsi="Times New Roman" w:cs="Times New Roman"/>
          <w:sz w:val="24"/>
          <w:szCs w:val="24"/>
          <w:lang w:val="pt-PT"/>
        </w:rPr>
        <w:t xml:space="preserve">/ano de capacidade. </w:t>
      </w:r>
      <w:r>
        <w:rPr>
          <w:rFonts w:ascii="Times New Roman" w:hAnsi="Times New Roman" w:cs="Times New Roman"/>
          <w:sz w:val="24"/>
          <w:szCs w:val="24"/>
          <w:lang w:val="pt-PT"/>
        </w:rPr>
        <w:t>Por outro lado, a decisão de adquirir plantas industriais de capacidade inferior é condizente com o fato de que a maior parcela do custo</w:t>
      </w:r>
      <w:r w:rsidR="004670ED">
        <w:rPr>
          <w:rFonts w:ascii="Times New Roman" w:hAnsi="Times New Roman" w:cs="Times New Roman"/>
          <w:sz w:val="24"/>
          <w:szCs w:val="24"/>
          <w:lang w:val="pt-PT"/>
        </w:rPr>
        <w:t xml:space="preserve"> é variável e que</w:t>
      </w:r>
      <w:r>
        <w:rPr>
          <w:rFonts w:ascii="Times New Roman" w:hAnsi="Times New Roman" w:cs="Times New Roman"/>
          <w:sz w:val="24"/>
          <w:szCs w:val="24"/>
          <w:lang w:val="pt-PT"/>
        </w:rPr>
        <w:t xml:space="preserve"> economias de escala</w:t>
      </w:r>
      <w:r w:rsidR="004670ED">
        <w:rPr>
          <w:rFonts w:ascii="Times New Roman" w:hAnsi="Times New Roman" w:cs="Times New Roman"/>
          <w:sz w:val="24"/>
          <w:szCs w:val="24"/>
          <w:lang w:val="pt-PT"/>
        </w:rPr>
        <w:t xml:space="preserve"> na produção</w:t>
      </w:r>
      <w:r>
        <w:rPr>
          <w:rFonts w:ascii="Times New Roman" w:hAnsi="Times New Roman" w:cs="Times New Roman"/>
          <w:sz w:val="24"/>
          <w:szCs w:val="24"/>
          <w:lang w:val="pt-PT"/>
        </w:rPr>
        <w:t xml:space="preserve"> teriam de vir com a redução do custo da matéria-prima, um enorme desafio para a tecnologia empregada hoje, dado que os óleos vegetais são precificados no mercado internacional e em alguns casos apresentam </w:t>
      </w:r>
      <w:r w:rsidRPr="003C4EDA">
        <w:rPr>
          <w:rFonts w:ascii="Times New Roman" w:hAnsi="Times New Roman" w:cs="Times New Roman"/>
          <w:sz w:val="24"/>
          <w:szCs w:val="24"/>
          <w:lang w:val="pt-PT"/>
        </w:rPr>
        <w:t>elevado custo de oportunidade</w:t>
      </w:r>
      <w:r>
        <w:rPr>
          <w:rStyle w:val="Refdenotaderodap"/>
          <w:rFonts w:ascii="Times New Roman" w:hAnsi="Times New Roman" w:cs="Times New Roman"/>
          <w:sz w:val="24"/>
          <w:szCs w:val="24"/>
          <w:lang w:val="pt-PT"/>
        </w:rPr>
        <w:footnoteReference w:id="14"/>
      </w:r>
      <w:r w:rsidRPr="003C4EDA">
        <w:rPr>
          <w:rFonts w:ascii="Times New Roman" w:hAnsi="Times New Roman" w:cs="Times New Roman"/>
          <w:sz w:val="24"/>
          <w:szCs w:val="24"/>
          <w:lang w:val="pt-PT"/>
        </w:rPr>
        <w:t xml:space="preserve">. </w:t>
      </w:r>
    </w:p>
    <w:p w:rsidR="00C6573C" w:rsidRDefault="00C6573C" w:rsidP="00C6573C">
      <w:pPr>
        <w:spacing w:line="360" w:lineRule="auto"/>
        <w:rPr>
          <w:rFonts w:ascii="Times New Roman" w:hAnsi="Times New Roman" w:cs="Times New Roman"/>
          <w:sz w:val="24"/>
          <w:szCs w:val="24"/>
          <w:lang w:val="pt-PT"/>
        </w:rPr>
      </w:pPr>
      <w:r w:rsidRPr="003C4EDA">
        <w:rPr>
          <w:rFonts w:ascii="Times New Roman" w:hAnsi="Times New Roman" w:cs="Times New Roman"/>
          <w:sz w:val="24"/>
          <w:szCs w:val="24"/>
          <w:lang w:val="pt-PT"/>
        </w:rPr>
        <w:tab/>
      </w:r>
      <w:r>
        <w:rPr>
          <w:rFonts w:ascii="Times New Roman" w:hAnsi="Times New Roman" w:cs="Times New Roman"/>
          <w:sz w:val="24"/>
          <w:szCs w:val="24"/>
          <w:lang w:val="pt-PT"/>
        </w:rPr>
        <w:t>Ademais, é</w:t>
      </w:r>
      <w:r w:rsidRPr="003C4EDA">
        <w:rPr>
          <w:rFonts w:ascii="Times New Roman" w:hAnsi="Times New Roman" w:cs="Times New Roman"/>
          <w:sz w:val="24"/>
          <w:szCs w:val="24"/>
          <w:lang w:val="pt-PT"/>
        </w:rPr>
        <w:t xml:space="preserve"> interessante notar </w:t>
      </w:r>
      <w:r>
        <w:rPr>
          <w:rFonts w:ascii="Times New Roman" w:hAnsi="Times New Roman" w:cs="Times New Roman"/>
          <w:sz w:val="24"/>
          <w:szCs w:val="24"/>
          <w:lang w:val="pt-PT"/>
        </w:rPr>
        <w:t>que, para</w:t>
      </w:r>
      <w:r w:rsidRPr="003C4EDA">
        <w:rPr>
          <w:rFonts w:ascii="Times New Roman" w:hAnsi="Times New Roman" w:cs="Times New Roman"/>
          <w:sz w:val="24"/>
          <w:szCs w:val="24"/>
          <w:lang w:val="pt-PT"/>
        </w:rPr>
        <w:t xml:space="preserve"> usufruir de isenções fiscais atreladas ao Selo Combustível Social,</w:t>
      </w:r>
      <w:r w:rsidR="0002395A">
        <w:rPr>
          <w:rFonts w:ascii="Times New Roman" w:hAnsi="Times New Roman" w:cs="Times New Roman"/>
          <w:sz w:val="24"/>
          <w:szCs w:val="24"/>
          <w:lang w:val="pt-PT"/>
        </w:rPr>
        <w:t xml:space="preserve"> previsto no PNPB,</w:t>
      </w:r>
      <w:r w:rsidRPr="003C4EDA">
        <w:rPr>
          <w:rFonts w:ascii="Times New Roman" w:hAnsi="Times New Roman" w:cs="Times New Roman"/>
          <w:sz w:val="24"/>
          <w:szCs w:val="24"/>
          <w:lang w:val="pt-PT"/>
        </w:rPr>
        <w:t xml:space="preserve"> </w:t>
      </w:r>
      <w:r>
        <w:rPr>
          <w:rFonts w:ascii="Times New Roman" w:hAnsi="Times New Roman" w:cs="Times New Roman"/>
          <w:sz w:val="24"/>
          <w:szCs w:val="24"/>
          <w:lang w:val="pt-PT"/>
        </w:rPr>
        <w:t>o produtor de biodiesel deve</w:t>
      </w:r>
      <w:r w:rsidRPr="003C4EDA">
        <w:rPr>
          <w:rFonts w:ascii="Times New Roman" w:hAnsi="Times New Roman" w:cs="Times New Roman"/>
          <w:sz w:val="24"/>
          <w:szCs w:val="24"/>
          <w:lang w:val="pt-PT"/>
        </w:rPr>
        <w:t xml:space="preserve"> comprar matéria prima de agricultores familiares, </w:t>
      </w:r>
      <w:r>
        <w:rPr>
          <w:rFonts w:ascii="Times New Roman" w:hAnsi="Times New Roman" w:cs="Times New Roman"/>
          <w:sz w:val="24"/>
          <w:szCs w:val="24"/>
          <w:lang w:val="pt-PT"/>
        </w:rPr>
        <w:t>oferecendo-lhes</w:t>
      </w:r>
      <w:r w:rsidRPr="003C4EDA">
        <w:rPr>
          <w:rFonts w:ascii="Times New Roman" w:hAnsi="Times New Roman" w:cs="Times New Roman"/>
          <w:sz w:val="24"/>
          <w:szCs w:val="24"/>
          <w:lang w:val="pt-PT"/>
        </w:rPr>
        <w:t xml:space="preserve"> suporte e as</w:t>
      </w:r>
      <w:r>
        <w:rPr>
          <w:rFonts w:ascii="Times New Roman" w:hAnsi="Times New Roman" w:cs="Times New Roman"/>
          <w:sz w:val="24"/>
          <w:szCs w:val="24"/>
          <w:lang w:val="pt-PT"/>
        </w:rPr>
        <w:t>sistência técnica, benefícios que podem ser mais bem providos por empresas grandes</w:t>
      </w:r>
      <w:r w:rsidRPr="003C4EDA">
        <w:rPr>
          <w:rFonts w:ascii="Times New Roman" w:hAnsi="Times New Roman" w:cs="Times New Roman"/>
          <w:sz w:val="24"/>
          <w:szCs w:val="24"/>
          <w:lang w:val="pt-PT"/>
        </w:rPr>
        <w:t>.</w:t>
      </w:r>
      <w:r>
        <w:rPr>
          <w:rFonts w:ascii="Times New Roman" w:hAnsi="Times New Roman" w:cs="Times New Roman"/>
          <w:sz w:val="24"/>
          <w:szCs w:val="24"/>
          <w:lang w:val="pt-PT"/>
        </w:rPr>
        <w:t xml:space="preserve"> Poucas empresas possuem o certificado e, na maioria dos casos, têm capacidade instalada superior a 70 mil t/ano (MENDES; COSTA, 2010</w:t>
      </w:r>
      <w:r w:rsidRPr="001B1478">
        <w:rPr>
          <w:rFonts w:ascii="Times New Roman" w:hAnsi="Times New Roman" w:cs="Times New Roman"/>
          <w:sz w:val="24"/>
          <w:szCs w:val="24"/>
          <w:lang w:val="pt-PT"/>
        </w:rPr>
        <w:t>).</w:t>
      </w:r>
      <w:r>
        <w:rPr>
          <w:rFonts w:ascii="Times New Roman" w:hAnsi="Times New Roman" w:cs="Times New Roman"/>
          <w:sz w:val="24"/>
          <w:szCs w:val="24"/>
          <w:lang w:val="pt-PT"/>
        </w:rPr>
        <w:t xml:space="preserve"> Desse modo, o programa governamental, ao mesmo tempo em que busca incentivar a agricultura familiar, pode estar oferecendo condições mais favoráveis às grandes empresas no segmento industrial da cadeia</w:t>
      </w:r>
      <w:r w:rsidR="00927F65">
        <w:rPr>
          <w:rFonts w:ascii="Times New Roman" w:hAnsi="Times New Roman" w:cs="Times New Roman"/>
          <w:sz w:val="24"/>
          <w:szCs w:val="24"/>
          <w:lang w:val="pt-PT"/>
        </w:rPr>
        <w:t xml:space="preserve"> produtiva</w:t>
      </w:r>
      <w:r>
        <w:rPr>
          <w:rFonts w:ascii="Times New Roman" w:hAnsi="Times New Roman" w:cs="Times New Roman"/>
          <w:sz w:val="24"/>
          <w:szCs w:val="24"/>
          <w:lang w:val="pt-PT"/>
        </w:rPr>
        <w:t>.</w:t>
      </w:r>
    </w:p>
    <w:p w:rsidR="00C6573C" w:rsidRPr="00310999" w:rsidRDefault="00C6573C" w:rsidP="00C6573C">
      <w:pPr>
        <w:spacing w:line="360" w:lineRule="auto"/>
        <w:ind w:firstLine="708"/>
        <w:rPr>
          <w:rFonts w:ascii="Times New Roman" w:hAnsi="Times New Roman" w:cs="Times New Roman"/>
          <w:sz w:val="24"/>
          <w:szCs w:val="24"/>
          <w:lang w:val="pt-PT"/>
        </w:rPr>
      </w:pPr>
      <w:r w:rsidRPr="00AC0CFB">
        <w:rPr>
          <w:rFonts w:ascii="Times New Roman" w:hAnsi="Times New Roman" w:cs="Times New Roman"/>
          <w:sz w:val="24"/>
          <w:szCs w:val="24"/>
          <w:lang w:val="pt-PT"/>
        </w:rPr>
        <w:t xml:space="preserve">Há de se ressaltar </w:t>
      </w:r>
      <w:r>
        <w:rPr>
          <w:rFonts w:ascii="Times New Roman" w:hAnsi="Times New Roman" w:cs="Times New Roman"/>
          <w:sz w:val="24"/>
          <w:szCs w:val="24"/>
          <w:lang w:val="pt-PT"/>
        </w:rPr>
        <w:t xml:space="preserve">também </w:t>
      </w:r>
      <w:r w:rsidRPr="00AC0CFB">
        <w:rPr>
          <w:rFonts w:ascii="Times New Roman" w:hAnsi="Times New Roman" w:cs="Times New Roman"/>
          <w:sz w:val="24"/>
          <w:szCs w:val="24"/>
          <w:lang w:val="pt-PT"/>
        </w:rPr>
        <w:t>que a indústria de biodiesel tem se caracterizado pela presença de diferentes tipos de investidores e produtores, como</w:t>
      </w:r>
      <w:r>
        <w:rPr>
          <w:rFonts w:ascii="Times New Roman" w:hAnsi="Times New Roman" w:cs="Times New Roman"/>
          <w:sz w:val="24"/>
          <w:szCs w:val="24"/>
          <w:lang w:val="pt-PT"/>
        </w:rPr>
        <w:t xml:space="preserve"> </w:t>
      </w:r>
      <w:r w:rsidRPr="00AC0CFB">
        <w:rPr>
          <w:rFonts w:ascii="Times New Roman" w:hAnsi="Times New Roman" w:cs="Times New Roman"/>
          <w:sz w:val="24"/>
          <w:szCs w:val="24"/>
          <w:lang w:val="pt-PT"/>
        </w:rPr>
        <w:t>frigoríficos,</w:t>
      </w:r>
      <w:r>
        <w:rPr>
          <w:rFonts w:ascii="Times New Roman" w:hAnsi="Times New Roman" w:cs="Times New Roman"/>
          <w:sz w:val="24"/>
          <w:szCs w:val="24"/>
          <w:lang w:val="pt-PT"/>
        </w:rPr>
        <w:t xml:space="preserve"> grupos financeiros e agroindustriais</w:t>
      </w:r>
      <w:r w:rsidRPr="00AC0CFB">
        <w:rPr>
          <w:rFonts w:ascii="Times New Roman" w:hAnsi="Times New Roman" w:cs="Times New Roman"/>
          <w:sz w:val="24"/>
          <w:szCs w:val="24"/>
          <w:lang w:val="pt-PT"/>
        </w:rPr>
        <w:t xml:space="preserve">, </w:t>
      </w:r>
      <w:r>
        <w:rPr>
          <w:rFonts w:ascii="Times New Roman" w:hAnsi="Times New Roman" w:cs="Times New Roman"/>
          <w:sz w:val="24"/>
          <w:szCs w:val="24"/>
          <w:lang w:val="pt-PT"/>
        </w:rPr>
        <w:t>grandes empresas das áreas de petróleo e química</w:t>
      </w:r>
      <w:r w:rsidRPr="00AC0CFB">
        <w:rPr>
          <w:rFonts w:ascii="Times New Roman" w:hAnsi="Times New Roman" w:cs="Times New Roman"/>
          <w:sz w:val="24"/>
          <w:szCs w:val="24"/>
          <w:lang w:val="pt-PT"/>
        </w:rPr>
        <w:t>, investidores independentes, entre outros. A facilidade de entrada de novos produtores é reflexo da</w:t>
      </w:r>
      <w:r>
        <w:rPr>
          <w:rFonts w:ascii="Times New Roman" w:hAnsi="Times New Roman" w:cs="Times New Roman"/>
          <w:color w:val="FF0000"/>
          <w:sz w:val="24"/>
          <w:szCs w:val="24"/>
          <w:lang w:val="pt-PT"/>
        </w:rPr>
        <w:t xml:space="preserve"> </w:t>
      </w:r>
      <w:r>
        <w:rPr>
          <w:rFonts w:ascii="Times New Roman" w:hAnsi="Times New Roman" w:cs="Times New Roman"/>
          <w:sz w:val="24"/>
          <w:szCs w:val="24"/>
        </w:rPr>
        <w:lastRenderedPageBreak/>
        <w:t>in</w:t>
      </w:r>
      <w:r w:rsidRPr="001F4DC7">
        <w:rPr>
          <w:rFonts w:ascii="Times New Roman" w:hAnsi="Times New Roman" w:cs="Times New Roman"/>
          <w:sz w:val="24"/>
          <w:szCs w:val="24"/>
        </w:rPr>
        <w:t>existência d</w:t>
      </w:r>
      <w:r>
        <w:rPr>
          <w:rFonts w:ascii="Times New Roman" w:hAnsi="Times New Roman" w:cs="Times New Roman"/>
          <w:sz w:val="24"/>
          <w:szCs w:val="24"/>
        </w:rPr>
        <w:t>e barreiras tecnológicas. No</w:t>
      </w:r>
      <w:r w:rsidRPr="001F4DC7">
        <w:rPr>
          <w:rFonts w:ascii="Times New Roman" w:hAnsi="Times New Roman" w:cs="Times New Roman"/>
          <w:sz w:val="24"/>
          <w:szCs w:val="24"/>
        </w:rPr>
        <w:t xml:space="preserve"> gráfico </w:t>
      </w:r>
      <w:r w:rsidR="0002395A">
        <w:rPr>
          <w:rFonts w:ascii="Times New Roman" w:hAnsi="Times New Roman" w:cs="Times New Roman"/>
          <w:sz w:val="24"/>
          <w:szCs w:val="24"/>
        </w:rPr>
        <w:t>2</w:t>
      </w:r>
      <w:r w:rsidRPr="001F4DC7">
        <w:rPr>
          <w:rFonts w:ascii="Times New Roman" w:hAnsi="Times New Roman" w:cs="Times New Roman"/>
          <w:sz w:val="24"/>
          <w:szCs w:val="24"/>
        </w:rPr>
        <w:t xml:space="preserve">, </w:t>
      </w:r>
      <w:r>
        <w:rPr>
          <w:rFonts w:ascii="Times New Roman" w:hAnsi="Times New Roman" w:cs="Times New Roman"/>
          <w:sz w:val="24"/>
          <w:szCs w:val="24"/>
        </w:rPr>
        <w:t xml:space="preserve">é possível notar que </w:t>
      </w:r>
      <w:r w:rsidRPr="001F4DC7">
        <w:rPr>
          <w:rFonts w:ascii="Times New Roman" w:hAnsi="Times New Roman" w:cs="Times New Roman"/>
          <w:sz w:val="24"/>
          <w:szCs w:val="24"/>
        </w:rPr>
        <w:t>em te</w:t>
      </w:r>
      <w:r>
        <w:rPr>
          <w:rFonts w:ascii="Times New Roman" w:hAnsi="Times New Roman" w:cs="Times New Roman"/>
          <w:sz w:val="24"/>
          <w:szCs w:val="24"/>
        </w:rPr>
        <w:t>rmos de concentração industrial,</w:t>
      </w:r>
      <w:r w:rsidRPr="001F4DC7">
        <w:rPr>
          <w:rFonts w:ascii="Times New Roman" w:hAnsi="Times New Roman" w:cs="Times New Roman"/>
          <w:sz w:val="24"/>
          <w:szCs w:val="24"/>
        </w:rPr>
        <w:t xml:space="preserve"> a produção de biodiesel se encontra bastante pulverizada. </w:t>
      </w:r>
    </w:p>
    <w:p w:rsidR="00C6573C" w:rsidRDefault="00C6573C" w:rsidP="00C6573C">
      <w:pPr>
        <w:rPr>
          <w:rFonts w:ascii="Times New Roman" w:hAnsi="Times New Roman" w:cs="Times New Roman"/>
          <w:b/>
          <w:bCs/>
          <w:sz w:val="24"/>
          <w:szCs w:val="24"/>
        </w:rPr>
      </w:pPr>
    </w:p>
    <w:p w:rsidR="00C6573C" w:rsidRPr="00334574" w:rsidRDefault="0002395A" w:rsidP="00C6573C">
      <w:pPr>
        <w:spacing w:line="360" w:lineRule="auto"/>
        <w:ind w:firstLine="708"/>
        <w:jc w:val="center"/>
        <w:outlineLvl w:val="0"/>
        <w:rPr>
          <w:rFonts w:ascii="Times New Roman" w:hAnsi="Times New Roman" w:cs="Times New Roman"/>
          <w:sz w:val="24"/>
          <w:szCs w:val="24"/>
        </w:rPr>
      </w:pPr>
      <w:bookmarkStart w:id="37" w:name="_Toc330505766"/>
      <w:bookmarkStart w:id="38" w:name="_Toc330506346"/>
      <w:bookmarkStart w:id="39" w:name="_Toc331848313"/>
      <w:bookmarkStart w:id="40" w:name="_Toc331848521"/>
      <w:bookmarkStart w:id="41" w:name="_Toc332018595"/>
      <w:bookmarkStart w:id="42" w:name="_Toc333911346"/>
      <w:r>
        <w:rPr>
          <w:rFonts w:ascii="Times New Roman" w:hAnsi="Times New Roman" w:cs="Times New Roman"/>
          <w:b/>
          <w:bCs/>
          <w:sz w:val="24"/>
          <w:szCs w:val="24"/>
        </w:rPr>
        <w:t>Gráfico 2</w:t>
      </w:r>
      <w:r w:rsidR="00C6573C">
        <w:rPr>
          <w:rFonts w:ascii="Times New Roman" w:hAnsi="Times New Roman" w:cs="Times New Roman"/>
          <w:b/>
          <w:bCs/>
          <w:sz w:val="24"/>
          <w:szCs w:val="24"/>
        </w:rPr>
        <w:t xml:space="preserve">. </w:t>
      </w:r>
      <w:r w:rsidR="00C6573C" w:rsidRPr="00334574">
        <w:rPr>
          <w:rFonts w:ascii="Times New Roman" w:hAnsi="Times New Roman" w:cs="Times New Roman"/>
          <w:b/>
          <w:bCs/>
          <w:sz w:val="24"/>
          <w:szCs w:val="24"/>
        </w:rPr>
        <w:t>Participaçã</w:t>
      </w:r>
      <w:r w:rsidR="00C6573C">
        <w:rPr>
          <w:rFonts w:ascii="Times New Roman" w:hAnsi="Times New Roman" w:cs="Times New Roman"/>
          <w:b/>
          <w:bCs/>
          <w:sz w:val="24"/>
          <w:szCs w:val="24"/>
        </w:rPr>
        <w:t>o na Capacidade Instalada - Junho</w:t>
      </w:r>
      <w:r w:rsidR="00C6573C" w:rsidRPr="00334574">
        <w:rPr>
          <w:rFonts w:ascii="Times New Roman" w:hAnsi="Times New Roman" w:cs="Times New Roman"/>
          <w:b/>
          <w:bCs/>
          <w:sz w:val="24"/>
          <w:szCs w:val="24"/>
        </w:rPr>
        <w:t>/201</w:t>
      </w:r>
      <w:bookmarkEnd w:id="37"/>
      <w:bookmarkEnd w:id="38"/>
      <w:r w:rsidR="00C6573C">
        <w:rPr>
          <w:rFonts w:ascii="Times New Roman" w:hAnsi="Times New Roman" w:cs="Times New Roman"/>
          <w:b/>
          <w:bCs/>
          <w:sz w:val="24"/>
          <w:szCs w:val="24"/>
        </w:rPr>
        <w:t>2</w:t>
      </w:r>
      <w:bookmarkEnd w:id="39"/>
      <w:bookmarkEnd w:id="40"/>
      <w:bookmarkEnd w:id="41"/>
      <w:bookmarkEnd w:id="42"/>
    </w:p>
    <w:p w:rsidR="00C6573C" w:rsidRDefault="00C6573C" w:rsidP="00C6573C">
      <w:pPr>
        <w:spacing w:line="360" w:lineRule="auto"/>
        <w:ind w:firstLine="708"/>
        <w:jc w:val="center"/>
        <w:rPr>
          <w:rFonts w:ascii="Times New Roman" w:hAnsi="Times New Roman" w:cs="Times New Roman"/>
          <w:sz w:val="24"/>
          <w:szCs w:val="24"/>
        </w:rPr>
      </w:pPr>
      <w:r>
        <w:rPr>
          <w:rFonts w:ascii="Times New Roman" w:hAnsi="Times New Roman" w:cs="Times New Roman"/>
          <w:b/>
          <w:bCs/>
          <w:sz w:val="24"/>
          <w:szCs w:val="24"/>
        </w:rPr>
        <w:t>19.534</w:t>
      </w:r>
      <w:r w:rsidRPr="00334574">
        <w:rPr>
          <w:rFonts w:ascii="Times New Roman" w:hAnsi="Times New Roman" w:cs="Times New Roman"/>
          <w:b/>
          <w:bCs/>
          <w:sz w:val="24"/>
          <w:szCs w:val="24"/>
        </w:rPr>
        <w:t xml:space="preserve"> m</w:t>
      </w:r>
      <w:r w:rsidRPr="00334574">
        <w:rPr>
          <w:rFonts w:ascii="Times New Roman" w:hAnsi="Times New Roman" w:cs="Times New Roman"/>
          <w:b/>
          <w:bCs/>
          <w:sz w:val="24"/>
          <w:szCs w:val="24"/>
          <w:vertAlign w:val="superscript"/>
        </w:rPr>
        <w:t>3</w:t>
      </w:r>
      <w:r w:rsidRPr="00334574">
        <w:rPr>
          <w:rFonts w:ascii="Times New Roman" w:hAnsi="Times New Roman" w:cs="Times New Roman"/>
          <w:b/>
          <w:bCs/>
          <w:sz w:val="24"/>
          <w:szCs w:val="24"/>
        </w:rPr>
        <w:t>/</w:t>
      </w:r>
      <w:r>
        <w:rPr>
          <w:rFonts w:ascii="Times New Roman" w:hAnsi="Times New Roman" w:cs="Times New Roman"/>
          <w:b/>
          <w:bCs/>
          <w:sz w:val="24"/>
          <w:szCs w:val="24"/>
        </w:rPr>
        <w:t>dia</w:t>
      </w:r>
    </w:p>
    <w:p w:rsidR="00C6573C" w:rsidRDefault="00C6573C" w:rsidP="00C6573C">
      <w:pPr>
        <w:spacing w:line="360" w:lineRule="auto"/>
        <w:ind w:firstLine="708"/>
        <w:rPr>
          <w:rFonts w:ascii="Times New Roman" w:hAnsi="Times New Roman" w:cs="Times New Roman"/>
          <w:sz w:val="24"/>
          <w:szCs w:val="24"/>
        </w:rPr>
      </w:pPr>
      <w:r w:rsidRPr="00CA400A">
        <w:rPr>
          <w:rFonts w:ascii="Times New Roman" w:hAnsi="Times New Roman" w:cs="Times New Roman"/>
          <w:noProof/>
          <w:sz w:val="24"/>
          <w:szCs w:val="24"/>
          <w:lang w:eastAsia="pt-BR"/>
        </w:rPr>
        <w:drawing>
          <wp:inline distT="0" distB="0" distL="0" distR="0">
            <wp:extent cx="5048250" cy="29718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6573C" w:rsidRPr="00334574" w:rsidRDefault="00C6573C" w:rsidP="00C6573C">
      <w:pPr>
        <w:spacing w:line="360" w:lineRule="auto"/>
        <w:ind w:firstLine="708"/>
        <w:outlineLvl w:val="0"/>
        <w:rPr>
          <w:rFonts w:ascii="Times New Roman" w:hAnsi="Times New Roman" w:cs="Times New Roman"/>
          <w:sz w:val="20"/>
          <w:szCs w:val="20"/>
        </w:rPr>
      </w:pPr>
      <w:bookmarkStart w:id="43" w:name="_Toc330505767"/>
      <w:bookmarkStart w:id="44" w:name="_Toc330506347"/>
      <w:bookmarkStart w:id="45" w:name="_Toc331848314"/>
      <w:bookmarkStart w:id="46" w:name="_Toc331848522"/>
      <w:bookmarkStart w:id="47" w:name="_Toc332018596"/>
      <w:bookmarkStart w:id="48" w:name="_Toc333911347"/>
      <w:r w:rsidRPr="00334574">
        <w:rPr>
          <w:rFonts w:ascii="Times New Roman" w:hAnsi="Times New Roman" w:cs="Times New Roman"/>
          <w:sz w:val="20"/>
          <w:szCs w:val="20"/>
        </w:rPr>
        <w:t>Fonte: ANP</w:t>
      </w:r>
      <w:bookmarkEnd w:id="43"/>
      <w:bookmarkEnd w:id="44"/>
      <w:r>
        <w:rPr>
          <w:rFonts w:ascii="Times New Roman" w:hAnsi="Times New Roman" w:cs="Times New Roman"/>
          <w:sz w:val="20"/>
          <w:szCs w:val="20"/>
        </w:rPr>
        <w:t xml:space="preserve"> (2012)</w:t>
      </w:r>
      <w:bookmarkEnd w:id="45"/>
      <w:bookmarkEnd w:id="46"/>
      <w:bookmarkEnd w:id="47"/>
      <w:bookmarkEnd w:id="48"/>
    </w:p>
    <w:p w:rsidR="00C6573C" w:rsidRDefault="00C6573C" w:rsidP="00C6573C">
      <w:pPr>
        <w:pStyle w:val="PargrafodaLista"/>
        <w:spacing w:line="360" w:lineRule="auto"/>
        <w:ind w:left="0" w:firstLine="708"/>
        <w:rPr>
          <w:rFonts w:ascii="Times New Roman" w:hAnsi="Times New Roman" w:cs="Times New Roman"/>
          <w:sz w:val="24"/>
          <w:szCs w:val="24"/>
        </w:rPr>
      </w:pPr>
    </w:p>
    <w:p w:rsidR="00C6573C" w:rsidRDefault="00C6573C" w:rsidP="00C6573C">
      <w:pPr>
        <w:pStyle w:val="PargrafodaLista"/>
        <w:spacing w:line="360" w:lineRule="auto"/>
        <w:ind w:left="0" w:firstLine="708"/>
        <w:rPr>
          <w:rFonts w:ascii="Times New Roman" w:hAnsi="Times New Roman" w:cs="Times New Roman"/>
          <w:sz w:val="24"/>
          <w:szCs w:val="24"/>
        </w:rPr>
      </w:pPr>
      <w:r>
        <w:rPr>
          <w:rFonts w:ascii="Times New Roman" w:hAnsi="Times New Roman" w:cs="Times New Roman"/>
          <w:sz w:val="24"/>
          <w:szCs w:val="24"/>
        </w:rPr>
        <w:t>Observa-se</w:t>
      </w:r>
      <w:r>
        <w:rPr>
          <w:rFonts w:ascii="Times New Roman" w:hAnsi="Times New Roman" w:cs="Times New Roman"/>
          <w:bCs/>
          <w:sz w:val="24"/>
          <w:szCs w:val="24"/>
        </w:rPr>
        <w:t>, por exemplo, que nenhuma empresa atinge participação acima de 10%. A competição acirrada se deve principalmente ao fato de haver um grande número de empresas e plantas fabricando um produto homogêneo que é vendido em regime de leilão. A</w:t>
      </w:r>
      <w:r>
        <w:rPr>
          <w:rFonts w:ascii="Times New Roman" w:hAnsi="Times New Roman" w:cs="Times New Roman"/>
          <w:sz w:val="24"/>
          <w:szCs w:val="24"/>
        </w:rPr>
        <w:t>lém disso, é possível identificar na indústria brasileira de biodiesel uma significativa capacidade ociosa desde o início do PNPB, que pode ser fac</w:t>
      </w:r>
      <w:r w:rsidR="0002395A">
        <w:rPr>
          <w:rFonts w:ascii="Times New Roman" w:hAnsi="Times New Roman" w:cs="Times New Roman"/>
          <w:sz w:val="24"/>
          <w:szCs w:val="24"/>
        </w:rPr>
        <w:t>ilmente visualizada no gráfico 3</w:t>
      </w:r>
      <w:r>
        <w:rPr>
          <w:rFonts w:ascii="Times New Roman" w:hAnsi="Times New Roman" w:cs="Times New Roman"/>
          <w:sz w:val="24"/>
          <w:szCs w:val="24"/>
        </w:rPr>
        <w:t xml:space="preserve">. </w:t>
      </w:r>
    </w:p>
    <w:p w:rsidR="00C6573C" w:rsidRPr="004B2547" w:rsidRDefault="00C6573C" w:rsidP="00C6573C">
      <w:pPr>
        <w:spacing w:line="360" w:lineRule="auto"/>
        <w:ind w:firstLine="708"/>
        <w:rPr>
          <w:rFonts w:ascii="Times New Roman" w:hAnsi="Times New Roman" w:cs="Times New Roman"/>
          <w:color w:val="FF0000"/>
          <w:sz w:val="24"/>
          <w:szCs w:val="24"/>
        </w:rPr>
      </w:pPr>
      <w:r>
        <w:rPr>
          <w:rFonts w:ascii="Times New Roman" w:hAnsi="Times New Roman" w:cs="Times New Roman"/>
          <w:sz w:val="24"/>
          <w:szCs w:val="24"/>
        </w:rPr>
        <w:t xml:space="preserve">Atualmente, existem </w:t>
      </w:r>
      <w:r w:rsidRPr="00163E3B">
        <w:rPr>
          <w:rFonts w:ascii="Times New Roman" w:hAnsi="Times New Roman" w:cs="Times New Roman"/>
          <w:sz w:val="24"/>
          <w:szCs w:val="24"/>
        </w:rPr>
        <w:t xml:space="preserve">65 plantas produtoras de biodiesel </w:t>
      </w:r>
      <w:r>
        <w:rPr>
          <w:rFonts w:ascii="Times New Roman" w:hAnsi="Times New Roman" w:cs="Times New Roman"/>
          <w:sz w:val="24"/>
          <w:szCs w:val="24"/>
        </w:rPr>
        <w:t>com autorização d</w:t>
      </w:r>
      <w:r w:rsidRPr="00163E3B">
        <w:rPr>
          <w:rFonts w:ascii="Times New Roman" w:hAnsi="Times New Roman" w:cs="Times New Roman"/>
          <w:sz w:val="24"/>
          <w:szCs w:val="24"/>
        </w:rPr>
        <w:t xml:space="preserve">a ANP para </w:t>
      </w:r>
      <w:r>
        <w:rPr>
          <w:rFonts w:ascii="Times New Roman" w:hAnsi="Times New Roman" w:cs="Times New Roman"/>
          <w:sz w:val="24"/>
          <w:szCs w:val="24"/>
        </w:rPr>
        <w:t>operar no Brasil</w:t>
      </w:r>
      <w:r w:rsidRPr="00163E3B">
        <w:rPr>
          <w:rFonts w:ascii="Times New Roman" w:hAnsi="Times New Roman" w:cs="Times New Roman"/>
          <w:sz w:val="24"/>
          <w:szCs w:val="24"/>
        </w:rPr>
        <w:t>, correspondendo a um</w:t>
      </w:r>
      <w:r>
        <w:rPr>
          <w:rFonts w:ascii="Times New Roman" w:hAnsi="Times New Roman" w:cs="Times New Roman"/>
          <w:sz w:val="24"/>
          <w:szCs w:val="24"/>
        </w:rPr>
        <w:t>a capacidade total autorizada superior a 19 mil</w:t>
      </w:r>
      <w:r w:rsidRPr="00163E3B">
        <w:rPr>
          <w:rFonts w:ascii="Times New Roman" w:hAnsi="Times New Roman" w:cs="Times New Roman"/>
          <w:sz w:val="24"/>
          <w:szCs w:val="24"/>
        </w:rPr>
        <w:t xml:space="preserve"> m</w:t>
      </w:r>
      <w:r w:rsidRPr="00334574">
        <w:rPr>
          <w:rFonts w:ascii="Times New Roman" w:hAnsi="Times New Roman" w:cs="Times New Roman"/>
          <w:sz w:val="24"/>
          <w:szCs w:val="24"/>
          <w:vertAlign w:val="superscript"/>
        </w:rPr>
        <w:t>3</w:t>
      </w:r>
      <w:r>
        <w:rPr>
          <w:rFonts w:ascii="Times New Roman" w:hAnsi="Times New Roman" w:cs="Times New Roman"/>
          <w:sz w:val="24"/>
          <w:szCs w:val="24"/>
        </w:rPr>
        <w:t xml:space="preserve"> por dia, sendo que </w:t>
      </w:r>
      <w:r w:rsidRPr="00163E3B">
        <w:rPr>
          <w:rFonts w:ascii="Times New Roman" w:hAnsi="Times New Roman" w:cs="Times New Roman"/>
          <w:sz w:val="24"/>
          <w:szCs w:val="24"/>
        </w:rPr>
        <w:t>61</w:t>
      </w:r>
      <w:r>
        <w:rPr>
          <w:rFonts w:ascii="Times New Roman" w:hAnsi="Times New Roman" w:cs="Times New Roman"/>
          <w:sz w:val="24"/>
          <w:szCs w:val="24"/>
        </w:rPr>
        <w:t xml:space="preserve"> destas possuem autorização para c</w:t>
      </w:r>
      <w:r w:rsidRPr="00163E3B">
        <w:rPr>
          <w:rFonts w:ascii="Times New Roman" w:hAnsi="Times New Roman" w:cs="Times New Roman"/>
          <w:sz w:val="24"/>
          <w:szCs w:val="24"/>
        </w:rPr>
        <w:t xml:space="preserve">omercialização, </w:t>
      </w:r>
      <w:r>
        <w:rPr>
          <w:rFonts w:ascii="Times New Roman" w:hAnsi="Times New Roman" w:cs="Times New Roman"/>
          <w:sz w:val="24"/>
          <w:szCs w:val="24"/>
        </w:rPr>
        <w:t>alcançando volume de aproximadamente 18 mil</w:t>
      </w:r>
      <w:r w:rsidRPr="00163E3B">
        <w:rPr>
          <w:rFonts w:ascii="Times New Roman" w:hAnsi="Times New Roman" w:cs="Times New Roman"/>
          <w:sz w:val="24"/>
          <w:szCs w:val="24"/>
        </w:rPr>
        <w:t xml:space="preserve"> m</w:t>
      </w:r>
      <w:r w:rsidRPr="00334574">
        <w:rPr>
          <w:rFonts w:ascii="Times New Roman" w:hAnsi="Times New Roman" w:cs="Times New Roman"/>
          <w:sz w:val="24"/>
          <w:szCs w:val="24"/>
          <w:vertAlign w:val="superscript"/>
        </w:rPr>
        <w:t>3</w:t>
      </w:r>
      <w:r>
        <w:rPr>
          <w:rFonts w:ascii="Times New Roman" w:hAnsi="Times New Roman" w:cs="Times New Roman"/>
          <w:sz w:val="24"/>
          <w:szCs w:val="24"/>
        </w:rPr>
        <w:t xml:space="preserve"> por dia (ANP, 2012)</w:t>
      </w:r>
      <w:r w:rsidRPr="00163E3B">
        <w:rPr>
          <w:rFonts w:ascii="Times New Roman" w:hAnsi="Times New Roman" w:cs="Times New Roman"/>
          <w:sz w:val="24"/>
          <w:szCs w:val="24"/>
        </w:rPr>
        <w:t>.</w:t>
      </w:r>
      <w:r>
        <w:rPr>
          <w:rFonts w:ascii="Times New Roman" w:hAnsi="Times New Roman" w:cs="Times New Roman"/>
          <w:sz w:val="24"/>
          <w:szCs w:val="24"/>
        </w:rPr>
        <w:t xml:space="preserve"> </w:t>
      </w:r>
      <w:r w:rsidRPr="004B2547">
        <w:rPr>
          <w:rFonts w:ascii="Times New Roman" w:hAnsi="Times New Roman" w:cs="Times New Roman"/>
          <w:sz w:val="24"/>
          <w:szCs w:val="24"/>
        </w:rPr>
        <w:t>A produção de 2011 (2,7 milhões de m</w:t>
      </w:r>
      <w:r w:rsidRPr="004B2547">
        <w:rPr>
          <w:rFonts w:ascii="Times New Roman" w:hAnsi="Times New Roman" w:cs="Times New Roman"/>
          <w:sz w:val="24"/>
          <w:szCs w:val="24"/>
          <w:vertAlign w:val="superscript"/>
        </w:rPr>
        <w:t>3</w:t>
      </w:r>
      <w:r w:rsidRPr="004B2547">
        <w:rPr>
          <w:rFonts w:ascii="Times New Roman" w:hAnsi="Times New Roman" w:cs="Times New Roman"/>
          <w:sz w:val="24"/>
          <w:szCs w:val="24"/>
        </w:rPr>
        <w:t>) utilizou menos de 40% da capacidade total autorizada.</w:t>
      </w:r>
    </w:p>
    <w:p w:rsidR="00C6573C" w:rsidRPr="001E3486" w:rsidRDefault="00C6573C" w:rsidP="00C6573C">
      <w:pPr>
        <w:pStyle w:val="PargrafodaLista"/>
        <w:spacing w:line="360" w:lineRule="auto"/>
        <w:ind w:left="0" w:firstLine="708"/>
        <w:rPr>
          <w:rFonts w:ascii="Times New Roman" w:hAnsi="Times New Roman" w:cs="Times New Roman"/>
          <w:bCs/>
          <w:sz w:val="24"/>
          <w:szCs w:val="24"/>
        </w:rPr>
      </w:pPr>
      <w:r>
        <w:rPr>
          <w:rFonts w:ascii="Times New Roman" w:hAnsi="Times New Roman" w:cs="Times New Roman"/>
          <w:sz w:val="24"/>
          <w:szCs w:val="24"/>
        </w:rPr>
        <w:t>De acordo com Mendes e Costa (2010), mesmo as empresas maiores apresentam baixo fator de utilização da capacidade. Com base em dados de 2009, os autores constatam que há apenas uma empresa que utiliza mais de 70% da capacidade autorizada e que em alguns casos o nível de utilização não ultrapassa um quinto de sua capacidade.</w:t>
      </w:r>
    </w:p>
    <w:p w:rsidR="00C6573C" w:rsidRDefault="00C6573C" w:rsidP="00C6573C">
      <w:pPr>
        <w:spacing w:line="360" w:lineRule="auto"/>
        <w:rPr>
          <w:rFonts w:ascii="Times New Roman" w:hAnsi="Times New Roman" w:cs="Times New Roman"/>
          <w:b/>
          <w:sz w:val="24"/>
          <w:szCs w:val="24"/>
        </w:rPr>
      </w:pPr>
    </w:p>
    <w:p w:rsidR="00C6573C" w:rsidRPr="00BE6AD5" w:rsidRDefault="00C6573C" w:rsidP="00C6573C">
      <w:pPr>
        <w:spacing w:line="360" w:lineRule="auto"/>
        <w:jc w:val="center"/>
        <w:rPr>
          <w:rFonts w:ascii="Times New Roman" w:hAnsi="Times New Roman" w:cs="Times New Roman"/>
          <w:b/>
          <w:sz w:val="24"/>
          <w:szCs w:val="24"/>
        </w:rPr>
      </w:pPr>
      <w:r w:rsidRPr="00BE6AD5">
        <w:rPr>
          <w:rFonts w:ascii="Times New Roman" w:hAnsi="Times New Roman" w:cs="Times New Roman"/>
          <w:b/>
          <w:sz w:val="24"/>
          <w:szCs w:val="24"/>
        </w:rPr>
        <w:lastRenderedPageBreak/>
        <w:t xml:space="preserve">Gráfico </w:t>
      </w:r>
      <w:r w:rsidR="0002395A">
        <w:rPr>
          <w:rFonts w:ascii="Times New Roman" w:hAnsi="Times New Roman" w:cs="Times New Roman"/>
          <w:b/>
          <w:sz w:val="24"/>
          <w:szCs w:val="24"/>
        </w:rPr>
        <w:t>3</w:t>
      </w:r>
      <w:r w:rsidRPr="00BE6AD5">
        <w:rPr>
          <w:rFonts w:ascii="Times New Roman" w:hAnsi="Times New Roman" w:cs="Times New Roman"/>
          <w:b/>
          <w:sz w:val="24"/>
          <w:szCs w:val="24"/>
        </w:rPr>
        <w:t>. Evolução anual da produção</w:t>
      </w:r>
      <w:r w:rsidR="0002395A">
        <w:rPr>
          <w:rFonts w:ascii="Times New Roman" w:hAnsi="Times New Roman" w:cs="Times New Roman"/>
          <w:b/>
          <w:sz w:val="24"/>
          <w:szCs w:val="24"/>
        </w:rPr>
        <w:t xml:space="preserve"> de biodiesel</w:t>
      </w:r>
      <w:r w:rsidRPr="00BE6AD5">
        <w:rPr>
          <w:rFonts w:ascii="Times New Roman" w:hAnsi="Times New Roman" w:cs="Times New Roman"/>
          <w:b/>
          <w:sz w:val="24"/>
          <w:szCs w:val="24"/>
        </w:rPr>
        <w:t>, da demanda compulsória e da capacidade nominal autorizada pela ANP no Brasil</w:t>
      </w:r>
    </w:p>
    <w:p w:rsidR="00C6573C" w:rsidRDefault="00C6573C" w:rsidP="00C6573C">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5273494" cy="2633733"/>
            <wp:effectExtent l="19050" t="0" r="3356" b="0"/>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276153" cy="2635061"/>
                    </a:xfrm>
                    <a:prstGeom prst="rect">
                      <a:avLst/>
                    </a:prstGeom>
                    <a:noFill/>
                    <a:ln w="9525">
                      <a:noFill/>
                      <a:miter lim="800000"/>
                      <a:headEnd/>
                      <a:tailEnd/>
                    </a:ln>
                  </pic:spPr>
                </pic:pic>
              </a:graphicData>
            </a:graphic>
          </wp:inline>
        </w:drawing>
      </w:r>
    </w:p>
    <w:p w:rsidR="00C6573C" w:rsidRPr="00BE6AD5" w:rsidRDefault="00C6573C" w:rsidP="00C6573C">
      <w:pPr>
        <w:spacing w:line="360" w:lineRule="auto"/>
        <w:ind w:firstLine="708"/>
        <w:outlineLvl w:val="0"/>
        <w:rPr>
          <w:rFonts w:ascii="Times New Roman" w:hAnsi="Times New Roman" w:cs="Times New Roman"/>
          <w:sz w:val="20"/>
          <w:szCs w:val="20"/>
        </w:rPr>
      </w:pPr>
      <w:bookmarkStart w:id="49" w:name="_Toc330505769"/>
      <w:bookmarkStart w:id="50" w:name="_Toc330506349"/>
      <w:bookmarkStart w:id="51" w:name="_Toc331848315"/>
      <w:bookmarkStart w:id="52" w:name="_Toc331848523"/>
      <w:bookmarkStart w:id="53" w:name="_Toc332018597"/>
      <w:bookmarkStart w:id="54" w:name="_Toc333911348"/>
      <w:r w:rsidRPr="00BE6AD5">
        <w:rPr>
          <w:rFonts w:ascii="Times New Roman" w:hAnsi="Times New Roman" w:cs="Times New Roman"/>
          <w:sz w:val="20"/>
          <w:szCs w:val="20"/>
        </w:rPr>
        <w:t>Fonte: ANP (2012)</w:t>
      </w:r>
      <w:bookmarkEnd w:id="49"/>
      <w:bookmarkEnd w:id="50"/>
      <w:bookmarkEnd w:id="51"/>
      <w:bookmarkEnd w:id="52"/>
      <w:bookmarkEnd w:id="53"/>
      <w:bookmarkEnd w:id="54"/>
    </w:p>
    <w:p w:rsidR="00C6573C" w:rsidRDefault="00C6573C" w:rsidP="00C6573C">
      <w:pPr>
        <w:spacing w:line="360" w:lineRule="auto"/>
        <w:ind w:firstLine="708"/>
        <w:rPr>
          <w:rFonts w:ascii="Times New Roman" w:hAnsi="Times New Roman" w:cs="Times New Roman"/>
          <w:sz w:val="24"/>
          <w:szCs w:val="24"/>
        </w:rPr>
      </w:pP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Entre os principais desafios na produção de biodiesel se encontra a indefinição acerca da matéria-prima mais adequada, que apresente boa produtividade e alta resistência a pragas, doenças e variações climáticas. O óleo de soja tem se destacado por fazer parte de uma cadeia produtiva bastante organizada e desenvolvida, porém apresenta baixa produtividade em termos de volume de óleo por hectare. </w:t>
      </w: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A Embrapa, além de empresas privadas, tem aplicado esforços no desenvolvimento de espécies com produtividade muito superior, como o dendê, cuja expansão é indicada como alternativa para a agricultura sustentável na Amazônia. Essa indefinição, bem como a diversidade tecnológica e de organização da produção, é reflexo do baixo nível de maturidade nessa indústria e dificulta a identificação do potencial de desenvolvimento efetivo para o biodiesel no país (</w:t>
      </w:r>
      <w:r w:rsidRPr="00772899">
        <w:rPr>
          <w:rFonts w:ascii="Times New Roman" w:hAnsi="Times New Roman" w:cs="Times New Roman"/>
          <w:sz w:val="24"/>
          <w:szCs w:val="24"/>
        </w:rPr>
        <w:t>ALMEIDA et al.,</w:t>
      </w:r>
      <w:r>
        <w:rPr>
          <w:rFonts w:ascii="Times New Roman" w:hAnsi="Times New Roman" w:cs="Times New Roman"/>
          <w:sz w:val="24"/>
          <w:szCs w:val="24"/>
        </w:rPr>
        <w:t xml:space="preserve"> 2007).</w:t>
      </w:r>
    </w:p>
    <w:p w:rsidR="00C6573C" w:rsidRDefault="00C6573C" w:rsidP="00C6573C">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rPr>
        <w:t>Além disso, o mercado de biodiesel foi criado a partir de uma decisão política e a r</w:t>
      </w:r>
      <w:r w:rsidRPr="0041759A">
        <w:rPr>
          <w:rFonts w:ascii="Times New Roman" w:hAnsi="Times New Roman" w:cs="Times New Roman"/>
          <w:sz w:val="24"/>
          <w:szCs w:val="24"/>
          <w:lang w:val="pt-PT"/>
        </w:rPr>
        <w:t xml:space="preserve">entabilidade </w:t>
      </w:r>
      <w:r>
        <w:rPr>
          <w:rFonts w:ascii="Times New Roman" w:hAnsi="Times New Roman" w:cs="Times New Roman"/>
          <w:sz w:val="24"/>
          <w:szCs w:val="24"/>
          <w:lang w:val="pt-PT"/>
        </w:rPr>
        <w:t xml:space="preserve">dos produtores </w:t>
      </w:r>
      <w:r w:rsidRPr="0041759A">
        <w:rPr>
          <w:rFonts w:ascii="Times New Roman" w:hAnsi="Times New Roman" w:cs="Times New Roman"/>
          <w:sz w:val="24"/>
          <w:szCs w:val="24"/>
          <w:lang w:val="pt-PT"/>
        </w:rPr>
        <w:t xml:space="preserve">depende </w:t>
      </w:r>
      <w:r>
        <w:rPr>
          <w:rFonts w:ascii="Times New Roman" w:hAnsi="Times New Roman" w:cs="Times New Roman"/>
          <w:sz w:val="24"/>
          <w:szCs w:val="24"/>
          <w:lang w:val="pt-PT"/>
        </w:rPr>
        <w:t>significativamente das</w:t>
      </w:r>
      <w:r w:rsidRPr="0041759A">
        <w:rPr>
          <w:rFonts w:ascii="Times New Roman" w:hAnsi="Times New Roman" w:cs="Times New Roman"/>
          <w:sz w:val="24"/>
          <w:szCs w:val="24"/>
          <w:lang w:val="pt-PT"/>
        </w:rPr>
        <w:t xml:space="preserve"> </w:t>
      </w:r>
      <w:r>
        <w:rPr>
          <w:rFonts w:ascii="Times New Roman" w:hAnsi="Times New Roman" w:cs="Times New Roman"/>
          <w:sz w:val="24"/>
          <w:szCs w:val="24"/>
          <w:lang w:val="pt-PT"/>
        </w:rPr>
        <w:t>medidas</w:t>
      </w:r>
      <w:r w:rsidRPr="0041759A">
        <w:rPr>
          <w:rFonts w:ascii="Times New Roman" w:hAnsi="Times New Roman" w:cs="Times New Roman"/>
          <w:sz w:val="24"/>
          <w:szCs w:val="24"/>
          <w:lang w:val="pt-PT"/>
        </w:rPr>
        <w:t xml:space="preserve"> governamentais</w:t>
      </w:r>
      <w:r>
        <w:rPr>
          <w:rFonts w:ascii="Times New Roman" w:hAnsi="Times New Roman" w:cs="Times New Roman"/>
          <w:sz w:val="24"/>
          <w:szCs w:val="24"/>
          <w:lang w:val="pt-PT"/>
        </w:rPr>
        <w:t xml:space="preserve">, como os leilões de compra realizados pela ANP e a mistura obrigatória que cria mercado para o biodiesel. Com base na expectativa de que o marco regulatório continuaria a evoluir para percentuais maiores de mistura, muitos investimentos foram realizados na expansão da capacidade produtiva. </w:t>
      </w:r>
    </w:p>
    <w:p w:rsidR="00C6573C" w:rsidRPr="00FF57D2" w:rsidRDefault="00C6573C" w:rsidP="00C6573C">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rPr>
        <w:t xml:space="preserve">Nesse sentido, a UBRABIO (União Brasileira do Biodiesel e Bioquerosene) e a Associação Brasileira dos Produtores de Biodiesel (APROBIO) têm buscado pressionar o </w:t>
      </w:r>
      <w:r>
        <w:rPr>
          <w:rFonts w:ascii="Times New Roman" w:hAnsi="Times New Roman" w:cs="Times New Roman"/>
          <w:sz w:val="24"/>
          <w:szCs w:val="24"/>
        </w:rPr>
        <w:lastRenderedPageBreak/>
        <w:t>governo para que isso ocorra de forma mais acelerada. No final de 2011, foi formada uma frente parlamentar, com adesão de 260 deputados e senadores, cujo objetivo é elevar a mistura de biodiesel de 5% para 20% nos próximos dez anos</w:t>
      </w:r>
      <w:r>
        <w:rPr>
          <w:rStyle w:val="Refdenotaderodap"/>
          <w:rFonts w:ascii="Times New Roman" w:hAnsi="Times New Roman" w:cs="Times New Roman"/>
          <w:sz w:val="24"/>
          <w:szCs w:val="24"/>
        </w:rPr>
        <w:footnoteReference w:id="15"/>
      </w:r>
      <w:r>
        <w:rPr>
          <w:rFonts w:ascii="Times New Roman" w:hAnsi="Times New Roman" w:cs="Times New Roman"/>
          <w:sz w:val="24"/>
          <w:szCs w:val="24"/>
        </w:rPr>
        <w:t>.</w:t>
      </w:r>
      <w:r>
        <w:rPr>
          <w:rFonts w:ascii="Times New Roman" w:hAnsi="Times New Roman" w:cs="Times New Roman"/>
          <w:sz w:val="24"/>
          <w:szCs w:val="24"/>
          <w:lang w:val="pt-PT"/>
        </w:rPr>
        <w:t xml:space="preserve"> </w:t>
      </w:r>
      <w:r>
        <w:rPr>
          <w:rFonts w:ascii="Times New Roman" w:hAnsi="Times New Roman" w:cs="Times New Roman"/>
          <w:sz w:val="24"/>
          <w:szCs w:val="24"/>
        </w:rPr>
        <w:t xml:space="preserve">Portanto, a revisão do marco regulatório segue como importante determinante da rentabilidade do setor e fator essencial para a consolidação do mercado de biodiesel no país. </w:t>
      </w:r>
      <w:r w:rsidRPr="00FC4EBF">
        <w:rPr>
          <w:rFonts w:ascii="Times New Roman" w:hAnsi="Times New Roman" w:cs="Times New Roman"/>
          <w:sz w:val="24"/>
          <w:szCs w:val="24"/>
        </w:rPr>
        <w:t xml:space="preserve">Um choque positivo de demanda poderia vir </w:t>
      </w:r>
      <w:r>
        <w:rPr>
          <w:rFonts w:ascii="Times New Roman" w:hAnsi="Times New Roman" w:cs="Times New Roman"/>
          <w:sz w:val="24"/>
          <w:szCs w:val="24"/>
        </w:rPr>
        <w:t xml:space="preserve">tanto </w:t>
      </w:r>
      <w:r w:rsidRPr="00FC4EBF">
        <w:rPr>
          <w:rFonts w:ascii="Times New Roman" w:hAnsi="Times New Roman" w:cs="Times New Roman"/>
          <w:sz w:val="24"/>
          <w:szCs w:val="24"/>
        </w:rPr>
        <w:t>do atendimento à reivindicação dos produtores de aumentar a participação obrigatória de biodiesel na matri</w:t>
      </w:r>
      <w:r>
        <w:rPr>
          <w:rFonts w:ascii="Times New Roman" w:hAnsi="Times New Roman" w:cs="Times New Roman"/>
          <w:sz w:val="24"/>
          <w:szCs w:val="24"/>
        </w:rPr>
        <w:t>z brasileira de combustíveis, como do aumento das exportações</w:t>
      </w:r>
      <w:r w:rsidRPr="00FC4EBF">
        <w:rPr>
          <w:rFonts w:ascii="Times New Roman" w:hAnsi="Times New Roman" w:cs="Times New Roman"/>
          <w:sz w:val="24"/>
          <w:szCs w:val="24"/>
        </w:rPr>
        <w:t xml:space="preserve">. </w:t>
      </w:r>
    </w:p>
    <w:p w:rsidR="00C6573C" w:rsidRPr="001E6302" w:rsidRDefault="00C6573C" w:rsidP="00C6573C">
      <w:pPr>
        <w:spacing w:line="360" w:lineRule="auto"/>
        <w:ind w:firstLine="708"/>
        <w:rPr>
          <w:rFonts w:ascii="Times New Roman" w:hAnsi="Times New Roman" w:cs="Times New Roman"/>
          <w:sz w:val="24"/>
          <w:szCs w:val="24"/>
        </w:rPr>
      </w:pPr>
      <w:r w:rsidRPr="001E6302">
        <w:rPr>
          <w:rFonts w:ascii="Times New Roman" w:hAnsi="Times New Roman" w:cs="Times New Roman"/>
          <w:sz w:val="24"/>
          <w:szCs w:val="24"/>
        </w:rPr>
        <w:t xml:space="preserve">O que tem preocupado alguns pesquisadores, no entanto, é a extensão do impacto que esse aumento da demanda compulsória poderá ter sobre a produção e o preço dos alimentos. Em busca de maior compatibilidade entre disponibilidade de recursos naturais e crescente demanda energética, governos de diversos países têm adotado políticas de incentivo para promover formas economicamente viáveis de produzir combustíveis renováveis a partir das biomassas disponíveis em cada região. </w:t>
      </w:r>
    </w:p>
    <w:p w:rsidR="00C6573C" w:rsidRDefault="00C6573C" w:rsidP="00C6573C">
      <w:pPr>
        <w:pStyle w:val="Ttulo2"/>
        <w:rPr>
          <w:szCs w:val="24"/>
        </w:rPr>
      </w:pPr>
    </w:p>
    <w:p w:rsidR="00C6573C" w:rsidRPr="00740E2A" w:rsidRDefault="00C6573C" w:rsidP="00740E2A">
      <w:pPr>
        <w:pStyle w:val="Ttulo2"/>
      </w:pPr>
      <w:bookmarkStart w:id="55" w:name="_Toc333911349"/>
      <w:r w:rsidRPr="00740E2A">
        <w:t>2.2 Biocombustíveis e o meio ambiente: solução ou problema?</w:t>
      </w:r>
      <w:bookmarkEnd w:id="55"/>
    </w:p>
    <w:p w:rsidR="00C6573C" w:rsidRDefault="00C6573C" w:rsidP="00C6573C">
      <w:pPr>
        <w:spacing w:line="360" w:lineRule="auto"/>
        <w:ind w:firstLine="708"/>
        <w:rPr>
          <w:rFonts w:ascii="Times New Roman" w:hAnsi="Times New Roman" w:cs="Times New Roman"/>
          <w:sz w:val="24"/>
          <w:szCs w:val="24"/>
          <w:lang w:val="pt-PT"/>
        </w:rPr>
      </w:pPr>
    </w:p>
    <w:p w:rsidR="00C6573C" w:rsidRDefault="00C6573C" w:rsidP="00C6573C">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Há diversas questões ambientais que merecem ser analisadas com cuidado quando </w:t>
      </w:r>
      <w:r w:rsidR="005267C7">
        <w:rPr>
          <w:rFonts w:ascii="Times New Roman" w:hAnsi="Times New Roman" w:cs="Times New Roman"/>
          <w:sz w:val="24"/>
          <w:szCs w:val="24"/>
          <w:lang w:val="pt-PT"/>
        </w:rPr>
        <w:t>se trata</w:t>
      </w:r>
      <w:r>
        <w:rPr>
          <w:rFonts w:ascii="Times New Roman" w:hAnsi="Times New Roman" w:cs="Times New Roman"/>
          <w:sz w:val="24"/>
          <w:szCs w:val="24"/>
          <w:lang w:val="pt-PT"/>
        </w:rPr>
        <w:t xml:space="preserve"> da produção de biocombustíveis, desde a fase agrícola até o transporte do produto final para os cent</w:t>
      </w:r>
      <w:r w:rsidR="003D6888">
        <w:rPr>
          <w:rFonts w:ascii="Times New Roman" w:hAnsi="Times New Roman" w:cs="Times New Roman"/>
          <w:sz w:val="24"/>
          <w:szCs w:val="24"/>
          <w:lang w:val="pt-PT"/>
        </w:rPr>
        <w:t xml:space="preserve">ros consumidores, mas neste trabalho a atenção será direcionada às </w:t>
      </w:r>
      <w:r>
        <w:rPr>
          <w:rFonts w:ascii="Times New Roman" w:hAnsi="Times New Roman" w:cs="Times New Roman"/>
          <w:sz w:val="24"/>
          <w:szCs w:val="24"/>
          <w:lang w:val="pt-PT"/>
        </w:rPr>
        <w:t>que têm suscitado mais controvérsias. A primeira delas tem a ver com as emissões totais, diretas e indiretas, geradas e evitadas a partir da substituição de combustíveis fósseis. A segunda tem a ver com o desmatamento que, assim como as emissões, está suscetível a efeitos indiretos por meio do deslocamento de culturas agrícolas que dão lugar ao cultivo de matérias-primas energéticas.</w:t>
      </w:r>
    </w:p>
    <w:p w:rsidR="00C6573C" w:rsidRDefault="00C6573C" w:rsidP="00C6573C">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O grande apoio que têm recebido os biocombustíveis em diversos países se deve, em grande parte, ao fato de o setor de transportes ser responsável por 14% do total na matriz mundial de emissões de GEE. O que muitos especialistas têm criticado, por outro lado, é que 18% das emissões correspondem a mudanças no uso da terra, seja por desmatamento, seja por substituição da cobertura vegetal (VON DER WEID, 2009). Assim, a substituição dos combustíveis fósseis por biocombustíveis não faria sentido para atender metas de redução de </w:t>
      </w:r>
      <w:r>
        <w:rPr>
          <w:rFonts w:ascii="Times New Roman" w:hAnsi="Times New Roman" w:cs="Times New Roman"/>
          <w:sz w:val="24"/>
          <w:szCs w:val="24"/>
          <w:lang w:val="pt-PT"/>
        </w:rPr>
        <w:lastRenderedPageBreak/>
        <w:t>emissões, pois a redução de um setor se dá às custas do aumento em outro, podendo ser mais que compensatório</w:t>
      </w:r>
      <w:r>
        <w:rPr>
          <w:rStyle w:val="Refdenotaderodap"/>
          <w:rFonts w:ascii="Times New Roman" w:hAnsi="Times New Roman" w:cs="Times New Roman"/>
          <w:sz w:val="24"/>
          <w:szCs w:val="24"/>
          <w:lang w:val="pt-PT"/>
        </w:rPr>
        <w:footnoteReference w:id="16"/>
      </w:r>
      <w:r>
        <w:rPr>
          <w:rFonts w:ascii="Times New Roman" w:hAnsi="Times New Roman" w:cs="Times New Roman"/>
          <w:sz w:val="24"/>
          <w:szCs w:val="24"/>
          <w:lang w:val="pt-PT"/>
        </w:rPr>
        <w:t>.</w:t>
      </w:r>
    </w:p>
    <w:p w:rsidR="00C6573C" w:rsidRDefault="00C6573C" w:rsidP="00C6573C">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Como foi levantado por CREUTZIG et al. (2012), há uma parte da literatura científica indicando que as elevadas emissões diretas e indiretas devido ao uso da terra comprometem os benefícios de diversos biocombustíveis, ao passo que outra parte enfatiza o potencial que a sua produção em larga escala tem de mitigar as mudanças climáticas e até mesmo produzir emissões ‘negativas’ de GEE quando combinada a tecnologias de captura e estocagem de carbono. Portanto, essa questão do balanço de emissões permanece inconclusiva.</w:t>
      </w:r>
    </w:p>
    <w:p w:rsidR="00C6573C" w:rsidRDefault="00C6573C" w:rsidP="00C6573C">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Algumas avaliações apontam que o etanol de cana-de-açúcar é atualmente o biocombustível que tem maior capacidade de redução de GEE, devido à elevada produtividade e à utilização do bagaço para co-geração de eletricidade. Estimativas da </w:t>
      </w:r>
      <w:r w:rsidR="00E477E7">
        <w:rPr>
          <w:rFonts w:ascii="Times New Roman" w:hAnsi="Times New Roman" w:cs="Times New Roman"/>
          <w:sz w:val="24"/>
          <w:szCs w:val="24"/>
          <w:lang w:val="pt-PT"/>
        </w:rPr>
        <w:t xml:space="preserve">Organização para a Cooperação e Desenvolvimento Econômico (OCDE, </w:t>
      </w:r>
      <w:r>
        <w:rPr>
          <w:rFonts w:ascii="Times New Roman" w:hAnsi="Times New Roman" w:cs="Times New Roman"/>
          <w:sz w:val="24"/>
          <w:szCs w:val="24"/>
          <w:lang w:val="pt-PT"/>
        </w:rPr>
        <w:t xml:space="preserve">2008) indicam que essa redução, ao longo de todo o ciclo de produção e uso em comparação com a gasolina, é da ordem de 80% ou superior. </w:t>
      </w:r>
    </w:p>
    <w:p w:rsidR="00C6573C" w:rsidRDefault="00C6573C" w:rsidP="00C6573C">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O potencial de redução de emissões dos biocombustíveis depende dos processos e da tecnologia empregados na produção da matéria-prima, bem como do consumo de combustíveis fósseis, sendo que, mesmo para uma dada matéria-prima, é possível encontrar resultados divergentes em avaliações de ciclo de vida (ACV) (TIMILSINA; SHRESTHA, 2011). Essa metodologia analisa o produto em todas as suas etapas de fabricação e uso, inclusive destino final de efluentes e sub-produtos, além do consumo de energia nas diferentes fases do ciclo de vida. A amplitude das estimativas deriva dos diferentes pressupostos adotados pelos pesquisadores com relação a essas variáveis.</w:t>
      </w:r>
    </w:p>
    <w:p w:rsidR="00C6573C" w:rsidRDefault="00C6573C" w:rsidP="00C6573C">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No Brasil, a </w:t>
      </w:r>
      <w:r w:rsidR="0002395A">
        <w:rPr>
          <w:rFonts w:ascii="Times New Roman" w:hAnsi="Times New Roman" w:cs="Times New Roman"/>
          <w:sz w:val="24"/>
          <w:szCs w:val="24"/>
          <w:lang w:val="pt-PT"/>
        </w:rPr>
        <w:t>Embrapa tem se empenhado</w:t>
      </w:r>
      <w:r>
        <w:rPr>
          <w:rFonts w:ascii="Times New Roman" w:hAnsi="Times New Roman" w:cs="Times New Roman"/>
          <w:sz w:val="24"/>
          <w:szCs w:val="24"/>
          <w:lang w:val="pt-PT"/>
        </w:rPr>
        <w:t xml:space="preserve"> junto a universidades para implantação da metodologia ACV a fim de avaliar o desempenho ambiental dos biocombustíveis brasileiros. Lançado em 2010, o Programa Brasileiro de Avaliação do Ciclo de Vida, é uma iniciativa que caminha paralelamente ao processos de certificação para conferir maior credibilidade aos biocombustíveis produzidos aqui. O programa norte-americano de incentivo aos biocombustíveis já utiliza essa metodologia como critério para classificá-los e conceder-lhes incentivos diferenciados.</w:t>
      </w:r>
    </w:p>
    <w:p w:rsidR="00C6573C" w:rsidRDefault="00C6573C" w:rsidP="00C6573C">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Para lidar com as críticas em relação ao desmatamento, foi lançado pelo MAPA</w:t>
      </w:r>
      <w:r w:rsidRPr="00CF0B82">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em parceria com o MMA, em setembro de 2009, o Zoneamento Agroecológico da Cana (ZAE). Trata-se de uma iniciativa do governo junto aos produtores de cana-de-açúcar que tem por </w:t>
      </w:r>
      <w:r>
        <w:rPr>
          <w:rFonts w:ascii="Times New Roman" w:hAnsi="Times New Roman" w:cs="Times New Roman"/>
          <w:sz w:val="24"/>
          <w:szCs w:val="24"/>
          <w:lang w:val="pt-PT"/>
        </w:rPr>
        <w:lastRenderedPageBreak/>
        <w:t xml:space="preserve">objetivo fornecer informações técnicas para que a expansão da cultura canavieira ocorra de forma sustentável no território brasileiro e assim rebater as críticas de que a produção de biocombustíveis estimula o desmatamento. </w:t>
      </w:r>
    </w:p>
    <w:p w:rsidR="00C6573C" w:rsidRDefault="00C6573C" w:rsidP="00C6573C">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O plano delimita as áreas onde a cultura poderá expandir, propondo vetos à instalação de novas usinas em determinadas regiões. De acordo com o documento do MAPA, foram excluídas: i) terras com declividade superior a 12%, considerando a premissa de que nas áreas de expansão só será permitida a colheita mecanizada; ii) áreas com cobertura vegetal nativa; iii) os biomas da Amazônia e Pantanal; iv) áreas de proteção ambiental; v) terras indígenas; vi) remanescentes florestais; vi) dunas; vii) mangues; viii) escarpas e afloramentos de rocha; ix) reflorestamentos e x) áreas urbanas e de mineração.</w:t>
      </w:r>
    </w:p>
    <w:p w:rsidR="00C6573C" w:rsidRDefault="00C6573C" w:rsidP="00C6573C">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ab/>
        <w:t xml:space="preserve">O debate acerca do uso da terra na produção de culturas voltadas à produção de biocombustíveis está longe de chegar a um consenso, tanto em nível global, como local. A preocupação de organismos internacionais, como a </w:t>
      </w:r>
      <w:r w:rsidR="00CA6875">
        <w:rPr>
          <w:rFonts w:ascii="Times New Roman" w:hAnsi="Times New Roman" w:cs="Times New Roman"/>
          <w:sz w:val="24"/>
          <w:szCs w:val="24"/>
          <w:lang w:val="pt-PT"/>
        </w:rPr>
        <w:t>Organização das Nações Unidas para a Agricultura e Alimentação (F</w:t>
      </w:r>
      <w:r>
        <w:rPr>
          <w:rFonts w:ascii="Times New Roman" w:hAnsi="Times New Roman" w:cs="Times New Roman"/>
          <w:sz w:val="24"/>
          <w:szCs w:val="24"/>
          <w:lang w:val="pt-PT"/>
        </w:rPr>
        <w:t>AO</w:t>
      </w:r>
      <w:r w:rsidR="00CA6875">
        <w:rPr>
          <w:rFonts w:ascii="Times New Roman" w:hAnsi="Times New Roman" w:cs="Times New Roman"/>
          <w:sz w:val="24"/>
          <w:szCs w:val="24"/>
          <w:lang w:val="pt-PT"/>
        </w:rPr>
        <w:t>)</w:t>
      </w:r>
      <w:r>
        <w:rPr>
          <w:rFonts w:ascii="Times New Roman" w:hAnsi="Times New Roman" w:cs="Times New Roman"/>
          <w:sz w:val="24"/>
          <w:szCs w:val="24"/>
          <w:lang w:val="pt-PT"/>
        </w:rPr>
        <w:t xml:space="preserve"> e o Banco Mundial, sobre o impacto que a expansão dos biocombustíveis teve ou pode ter sobre o preço dos alimentos e o desmatamento fez com que o governo brasileiro e a própria indústria reagissem com iniciativas como o ZAE, o protocolo para redução gradativa da colheita manual e certificações de sustentabilidade. O argumento sustentado pela UNICA, ecoado por representantes de órgãos governamentais e até mesmo por membros da academia, é o de que a produção de cana-de-açúcar ocupa atualmente apenas 1% das terras agricultáveis no país (JANK; NAPPO, 2009; NYKO et al., 2010). </w:t>
      </w:r>
    </w:p>
    <w:p w:rsidR="00C6573C" w:rsidRDefault="00C6573C" w:rsidP="00C6573C">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Em 2010, a área total plantada de cana foi de 9,2 milhões de hectares, resultando em uma produção de 717,5 milhõ</w:t>
      </w:r>
      <w:r w:rsidR="00E477E7">
        <w:rPr>
          <w:rFonts w:ascii="Times New Roman" w:hAnsi="Times New Roman" w:cs="Times New Roman"/>
          <w:sz w:val="24"/>
          <w:szCs w:val="24"/>
          <w:lang w:val="pt-PT"/>
        </w:rPr>
        <w:t xml:space="preserve">es de toneladas (IBGE, 2011). O </w:t>
      </w:r>
      <w:r>
        <w:rPr>
          <w:rFonts w:ascii="Times New Roman" w:hAnsi="Times New Roman" w:cs="Times New Roman"/>
          <w:sz w:val="24"/>
          <w:szCs w:val="24"/>
          <w:lang w:val="pt-PT"/>
        </w:rPr>
        <w:t>Plano Decenal de Expansão de Energia</w:t>
      </w:r>
      <w:r w:rsidR="00E477E7">
        <w:rPr>
          <w:rFonts w:ascii="Times New Roman" w:hAnsi="Times New Roman" w:cs="Times New Roman"/>
          <w:sz w:val="24"/>
          <w:szCs w:val="24"/>
          <w:lang w:val="pt-PT"/>
        </w:rPr>
        <w:t xml:space="preserve"> (PDE</w:t>
      </w:r>
      <w:r>
        <w:rPr>
          <w:rFonts w:ascii="Times New Roman" w:hAnsi="Times New Roman" w:cs="Times New Roman"/>
          <w:sz w:val="24"/>
          <w:szCs w:val="24"/>
          <w:lang w:val="pt-PT"/>
        </w:rPr>
        <w:t xml:space="preserve">) 2020 aponta que a área efetivamente disponível no país para expansão agrícola é de 71 milhões de hectares, cerca de oito vezes superior à area utilizada atualmente à plantação de cana-de-açúcar (EPE, 2011). O ZAE, por sua vez, indica que o Brasil dispõe de 64,7 milhões de hectares de áreas aptas à expansão do cultivo da cana-de-açúcar, demonstrando “que o país não necessita incorporar áreas novas e com cobertura nativa ao processo produtivo, podendo expandir a área de cultivo com cana-de-açúcar sem afetar diretamente as terras utilizadas para a produção de alimentos” (MAPA, 2009, p. 7). </w:t>
      </w:r>
    </w:p>
    <w:p w:rsidR="00C6573C" w:rsidRDefault="00C6573C" w:rsidP="00C6573C">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Adicionalmente, o adensamento da pecuária, cuja ocupação média no país é de uma cabeça de gado por hectare, permitiria a liberação de 20 milhões de hectares, caso a densidade do gado nos municípios que apresentam ocupação abaixo de uma cabeça por hectare fosse elevada à média nacional. Esse acréscimo é bastante superior à estimativa da EPE de área </w:t>
      </w:r>
      <w:r>
        <w:rPr>
          <w:rFonts w:ascii="Times New Roman" w:hAnsi="Times New Roman" w:cs="Times New Roman"/>
          <w:sz w:val="24"/>
          <w:szCs w:val="24"/>
          <w:lang w:val="pt-PT"/>
        </w:rPr>
        <w:lastRenderedPageBreak/>
        <w:t xml:space="preserve">requerida para o atendimento da demanda de etanol em 2020 da ordem de 12 milhões de hectares. </w:t>
      </w:r>
    </w:p>
    <w:p w:rsidR="00C6573C" w:rsidRDefault="00C6573C" w:rsidP="00C6573C">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Na contramão deste argumento, encontram-se os resultados da pesquisa realizada por Barbieri (2009) com auxílio de mapas-base produzidos a partir de imagens de satélite, indicando que a expansão significativa dos canaviais no Cerrado é posterior a 2007 e </w:t>
      </w:r>
      <w:r w:rsidRPr="0039655F">
        <w:rPr>
          <w:rFonts w:ascii="Times New Roman" w:hAnsi="Times New Roman" w:cs="Times New Roman"/>
          <w:i/>
          <w:sz w:val="24"/>
          <w:szCs w:val="24"/>
          <w:lang w:val="pt-PT"/>
        </w:rPr>
        <w:t>não</w:t>
      </w:r>
      <w:r>
        <w:rPr>
          <w:rFonts w:ascii="Times New Roman" w:hAnsi="Times New Roman" w:cs="Times New Roman"/>
          <w:sz w:val="24"/>
          <w:szCs w:val="24"/>
          <w:lang w:val="pt-PT"/>
        </w:rPr>
        <w:t xml:space="preserve"> tem ocorrido preferencialmente sobre pastagens degradadas. </w:t>
      </w:r>
    </w:p>
    <w:p w:rsidR="00C6573C" w:rsidRDefault="00C6573C" w:rsidP="00C6573C">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Barbieri critica a “savanização das florestas”, um paradigma segundo o qual as savanas decorrem da degradação das matas, conduzindo à lógica da associação pastagens – degradadas. Isso teria levado sua riqueza e diversidade biológicas a serem “sistematicamente ignoradas pelo IBGE, que desde 1940 não reconhece o Cerrado como cobertura natural, mas lhe atribui </w:t>
      </w:r>
      <w:r w:rsidRPr="002E24CC">
        <w:rPr>
          <w:rFonts w:ascii="Times New Roman" w:hAnsi="Times New Roman" w:cs="Times New Roman"/>
          <w:i/>
          <w:sz w:val="24"/>
          <w:szCs w:val="24"/>
          <w:lang w:val="pt-PT"/>
        </w:rPr>
        <w:t>a priori</w:t>
      </w:r>
      <w:r>
        <w:rPr>
          <w:rFonts w:ascii="Times New Roman" w:hAnsi="Times New Roman" w:cs="Times New Roman"/>
          <w:sz w:val="24"/>
          <w:szCs w:val="24"/>
          <w:lang w:val="pt-PT"/>
        </w:rPr>
        <w:t xml:space="preserve"> uma vocação pecuária, considerando-o meramente ‘pastagem nativa’” (BARBIERI, 2009, p. 211). </w:t>
      </w:r>
    </w:p>
    <w:p w:rsidR="00C6573C" w:rsidRDefault="00C6573C" w:rsidP="00C6573C">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A conclusão mais relevante desse estudo é o fato de que há competição regional entre agroenergia e produção de alimentos, com agravamento da pressão sobre ecossistemas. Barbieri constatou que na microrregião do sudoeste de Goiás, a expansão da cana-de-açúcar tem ocorido preferencialmente sobre áreas de lavouras (63% dos 62.420 hectares da amostra) e que, quando a expansão ocorre sobre pastagens, para cada 10 hectares de pastagens convertidas é desmatado 1,12 hectare de cerrado originalmente mantido pelo sistema pecuário tradicional. </w:t>
      </w:r>
    </w:p>
    <w:p w:rsidR="00C6573C" w:rsidRDefault="00C6573C" w:rsidP="00C6573C">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Portanto, há que se ponderar o argumento da UNICA e outros órgãos governamentais quando estes defendem que a expansão dos canaviais não está associada nem ao desmatamento nem à elevação dos preços dos alimentos. Nesse sentido, é preciso estimular as pesquisas de campo para que debates importantes como o qu</w:t>
      </w:r>
      <w:r w:rsidR="00E16824">
        <w:rPr>
          <w:rFonts w:ascii="Times New Roman" w:hAnsi="Times New Roman" w:cs="Times New Roman"/>
          <w:sz w:val="24"/>
          <w:szCs w:val="24"/>
          <w:lang w:val="pt-PT"/>
        </w:rPr>
        <w:t xml:space="preserve">e </w:t>
      </w:r>
      <w:r w:rsidR="005267C7">
        <w:rPr>
          <w:rFonts w:ascii="Times New Roman" w:hAnsi="Times New Roman" w:cs="Times New Roman"/>
          <w:sz w:val="24"/>
          <w:szCs w:val="24"/>
          <w:lang w:val="pt-PT"/>
        </w:rPr>
        <w:t>foi abordado</w:t>
      </w:r>
      <w:r w:rsidR="00E16824">
        <w:rPr>
          <w:rFonts w:ascii="Times New Roman" w:hAnsi="Times New Roman" w:cs="Times New Roman"/>
          <w:sz w:val="24"/>
          <w:szCs w:val="24"/>
          <w:lang w:val="pt-PT"/>
        </w:rPr>
        <w:t xml:space="preserve"> nesta seção sejam </w:t>
      </w:r>
      <w:r w:rsidR="004B2DA8">
        <w:rPr>
          <w:rFonts w:ascii="Times New Roman" w:hAnsi="Times New Roman" w:cs="Times New Roman"/>
          <w:sz w:val="24"/>
          <w:szCs w:val="24"/>
          <w:lang w:val="pt-PT"/>
        </w:rPr>
        <w:t xml:space="preserve">mais </w:t>
      </w:r>
      <w:r w:rsidR="00E16824">
        <w:rPr>
          <w:rFonts w:ascii="Times New Roman" w:hAnsi="Times New Roman" w:cs="Times New Roman"/>
          <w:sz w:val="24"/>
          <w:szCs w:val="24"/>
          <w:lang w:val="pt-PT"/>
        </w:rPr>
        <w:t>pautados</w:t>
      </w:r>
      <w:r w:rsidR="004B2DA8">
        <w:rPr>
          <w:rFonts w:ascii="Times New Roman" w:hAnsi="Times New Roman" w:cs="Times New Roman"/>
          <w:sz w:val="24"/>
          <w:szCs w:val="24"/>
          <w:lang w:val="pt-PT"/>
        </w:rPr>
        <w:t xml:space="preserve"> </w:t>
      </w:r>
      <w:r w:rsidR="00E16824">
        <w:rPr>
          <w:rFonts w:ascii="Times New Roman" w:hAnsi="Times New Roman" w:cs="Times New Roman"/>
          <w:sz w:val="24"/>
          <w:szCs w:val="24"/>
          <w:lang w:val="pt-PT"/>
        </w:rPr>
        <w:t>por dados e fatos do que por</w:t>
      </w:r>
      <w:r>
        <w:rPr>
          <w:rFonts w:ascii="Times New Roman" w:hAnsi="Times New Roman" w:cs="Times New Roman"/>
          <w:sz w:val="24"/>
          <w:szCs w:val="24"/>
          <w:lang w:val="pt-PT"/>
        </w:rPr>
        <w:t xml:space="preserve"> cenários hipotéticos e pressupostos ideológicos.</w:t>
      </w:r>
    </w:p>
    <w:p w:rsidR="00C6573C" w:rsidRDefault="00C6573C" w:rsidP="00C6573C">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Considerando o que foi exposto, verifica-se que não há consenso sobre o tema, mas mesmo organismos como a FAO admitem que a elevação do preço dos alimentos se deve mais a questões como baixo investimento, baixa produtividade, secas regionais, baixos estoques e especulação de preços do que à expansão da produção de biocombustíveis (PILGRIM; HARVEY, 2010). </w:t>
      </w:r>
    </w:p>
    <w:p w:rsidR="00C6573C" w:rsidRDefault="00C6573C" w:rsidP="00C6573C">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Além disso, a revisão da literatura sobre o tema realizada por Timilsina e Shrestha (2011) mostra que os impactos sobre os preços dos alimentos são bem superiores quando se consideram as culturas (soja, milho, trigo, açúcar) individualmente do que quando uma cesta de produtos alimentares é analisada. O estudo de Baier et al. (2009 apud TIMILSINA; SHRESTHA, 2011) parece sintetizar os argumentos do debate, mostrando que</w:t>
      </w:r>
      <w:r w:rsidRPr="0033731C">
        <w:rPr>
          <w:rFonts w:ascii="Times New Roman" w:hAnsi="Times New Roman" w:cs="Times New Roman"/>
          <w:sz w:val="24"/>
          <w:szCs w:val="24"/>
          <w:lang w:val="pt-PT"/>
        </w:rPr>
        <w:t xml:space="preserve"> </w:t>
      </w:r>
      <w:r w:rsidRPr="0033731C">
        <w:rPr>
          <w:rFonts w:ascii="Times New Roman" w:hAnsi="Times New Roman" w:cs="Times New Roman"/>
          <w:bCs/>
          <w:sz w:val="24"/>
          <w:szCs w:val="24"/>
          <w:lang w:val="pt-PT"/>
        </w:rPr>
        <w:t>12%</w:t>
      </w:r>
      <w:r w:rsidRPr="0033731C">
        <w:rPr>
          <w:rFonts w:ascii="Times New Roman" w:hAnsi="Times New Roman" w:cs="Times New Roman"/>
          <w:b/>
          <w:bCs/>
          <w:sz w:val="24"/>
          <w:szCs w:val="24"/>
          <w:lang w:val="pt-PT"/>
        </w:rPr>
        <w:t xml:space="preserve"> </w:t>
      </w:r>
      <w:r w:rsidRPr="0033731C">
        <w:rPr>
          <w:rFonts w:ascii="Times New Roman" w:hAnsi="Times New Roman" w:cs="Times New Roman"/>
          <w:sz w:val="24"/>
          <w:szCs w:val="24"/>
          <w:lang w:val="pt-PT"/>
        </w:rPr>
        <w:t xml:space="preserve">do </w:t>
      </w:r>
      <w:r w:rsidRPr="0033731C">
        <w:rPr>
          <w:rFonts w:ascii="Times New Roman" w:hAnsi="Times New Roman" w:cs="Times New Roman"/>
          <w:sz w:val="24"/>
          <w:szCs w:val="24"/>
          <w:lang w:val="pt-PT"/>
        </w:rPr>
        <w:lastRenderedPageBreak/>
        <w:t xml:space="preserve">aumento no índice de preços dos alimentos </w:t>
      </w:r>
      <w:r>
        <w:rPr>
          <w:rFonts w:ascii="Times New Roman" w:hAnsi="Times New Roman" w:cs="Times New Roman"/>
          <w:sz w:val="24"/>
          <w:szCs w:val="24"/>
          <w:lang w:val="pt-PT"/>
        </w:rPr>
        <w:t>é explicado pelo</w:t>
      </w:r>
      <w:r w:rsidRPr="0033731C">
        <w:rPr>
          <w:rFonts w:ascii="Times New Roman" w:hAnsi="Times New Roman" w:cs="Times New Roman"/>
          <w:sz w:val="24"/>
          <w:szCs w:val="24"/>
          <w:lang w:val="pt-PT"/>
        </w:rPr>
        <w:t xml:space="preserve"> aumento d</w:t>
      </w:r>
      <w:r>
        <w:rPr>
          <w:rFonts w:ascii="Times New Roman" w:hAnsi="Times New Roman" w:cs="Times New Roman"/>
          <w:sz w:val="24"/>
          <w:szCs w:val="24"/>
          <w:lang w:val="pt-PT"/>
        </w:rPr>
        <w:t>a produção mundial de biocombustíveis, dos quais, 60% pode ser atribuído à produção destes n</w:t>
      </w:r>
      <w:r w:rsidRPr="0033731C">
        <w:rPr>
          <w:rFonts w:ascii="Times New Roman" w:hAnsi="Times New Roman" w:cs="Times New Roman"/>
          <w:sz w:val="24"/>
          <w:szCs w:val="24"/>
          <w:lang w:val="pt-PT"/>
        </w:rPr>
        <w:t>os</w:t>
      </w:r>
      <w:r>
        <w:rPr>
          <w:rFonts w:ascii="Times New Roman" w:hAnsi="Times New Roman" w:cs="Times New Roman"/>
          <w:sz w:val="24"/>
          <w:szCs w:val="24"/>
          <w:lang w:val="pt-PT"/>
        </w:rPr>
        <w:t xml:space="preserve"> EUA, 14% no Brasil e 15% na UE.</w:t>
      </w:r>
    </w:p>
    <w:p w:rsidR="00C6573C" w:rsidRDefault="00C6573C" w:rsidP="00C6573C">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Por trás dos estudos científicos que buscam avaliar os impactos reais da produção de biocombustíveis é possível que haja interesses de grupos específicos que buscam influenciar o processo de formulação de políticas públicas. Com relação ao papel dos estudos científicos na definição do interesse público, Nelson e Winter (2005) afirmam:</w:t>
      </w:r>
    </w:p>
    <w:p w:rsidR="00C6573C" w:rsidRDefault="00C6573C" w:rsidP="00C6573C">
      <w:pPr>
        <w:ind w:left="1416"/>
        <w:rPr>
          <w:rFonts w:ascii="Times New Roman" w:hAnsi="Times New Roman" w:cs="Times New Roman"/>
          <w:lang w:val="pt-PT"/>
        </w:rPr>
      </w:pPr>
    </w:p>
    <w:p w:rsidR="00C6573C" w:rsidRPr="00F54AD6" w:rsidRDefault="00C6573C" w:rsidP="00C6573C">
      <w:pPr>
        <w:ind w:left="2268"/>
        <w:rPr>
          <w:rFonts w:ascii="Times New Roman" w:hAnsi="Times New Roman" w:cs="Times New Roman"/>
          <w:lang w:val="pt-PT"/>
        </w:rPr>
      </w:pPr>
      <w:r w:rsidRPr="00F54AD6">
        <w:rPr>
          <w:rFonts w:ascii="Times New Roman" w:hAnsi="Times New Roman" w:cs="Times New Roman"/>
          <w:lang w:val="pt-PT"/>
        </w:rPr>
        <w:t>Grande parte do arcabouço interpretativo é amplamente orientado pela herança cultural da sociedade, por crenças bem sedimentadas e por predileções ideológicas que definem os papéis leg</w:t>
      </w:r>
      <w:r>
        <w:rPr>
          <w:rFonts w:ascii="Times New Roman" w:hAnsi="Times New Roman" w:cs="Times New Roman"/>
          <w:lang w:val="pt-PT"/>
        </w:rPr>
        <w:t>ítimos e ilegítimos do governo [...]</w:t>
      </w:r>
      <w:r w:rsidRPr="00F54AD6">
        <w:rPr>
          <w:rFonts w:ascii="Times New Roman" w:hAnsi="Times New Roman" w:cs="Times New Roman"/>
          <w:lang w:val="pt-PT"/>
        </w:rPr>
        <w:t>. Dentro desse amplo contexto, as interpretações técnicas particulares são condicionadas pelo estado geral da compreensão científica dos vários tópicos. A interpretação é influenciada apenas marginalmente pelos estudos e pelas análises dirigidos especialmente ao tema político particular em questão, e esses estudos também são fortemente condicionados pela ideologia e pela compreensão científica, em vez de fornecerem interpret</w:t>
      </w:r>
      <w:r>
        <w:rPr>
          <w:rFonts w:ascii="Times New Roman" w:hAnsi="Times New Roman" w:cs="Times New Roman"/>
          <w:lang w:val="pt-PT"/>
        </w:rPr>
        <w:t>ações independentes (NELSON; WINTER, 2005, p. 535-536)</w:t>
      </w:r>
      <w:r w:rsidRPr="00F54AD6">
        <w:rPr>
          <w:rFonts w:ascii="Times New Roman" w:hAnsi="Times New Roman" w:cs="Times New Roman"/>
          <w:lang w:val="pt-PT"/>
        </w:rPr>
        <w:t>.</w:t>
      </w:r>
    </w:p>
    <w:p w:rsidR="00C6573C" w:rsidRDefault="00C6573C" w:rsidP="00C6573C">
      <w:pPr>
        <w:spacing w:line="360" w:lineRule="auto"/>
        <w:ind w:firstLine="708"/>
        <w:rPr>
          <w:rFonts w:ascii="Times New Roman" w:hAnsi="Times New Roman" w:cs="Times New Roman"/>
          <w:sz w:val="24"/>
          <w:szCs w:val="24"/>
          <w:lang w:val="pt-PT"/>
        </w:rPr>
      </w:pPr>
    </w:p>
    <w:p w:rsidR="00C6573C" w:rsidRDefault="00C6573C" w:rsidP="00C6573C">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ab/>
        <w:t xml:space="preserve">Desse modo, apesar de não serem capazes de </w:t>
      </w:r>
      <w:r w:rsidRPr="00EC1DB3">
        <w:rPr>
          <w:rFonts w:ascii="Times New Roman" w:hAnsi="Times New Roman" w:cs="Times New Roman"/>
          <w:i/>
          <w:sz w:val="24"/>
          <w:szCs w:val="24"/>
          <w:lang w:val="pt-PT"/>
        </w:rPr>
        <w:t>identificar</w:t>
      </w:r>
      <w:r>
        <w:rPr>
          <w:rFonts w:ascii="Times New Roman" w:hAnsi="Times New Roman" w:cs="Times New Roman"/>
          <w:sz w:val="24"/>
          <w:szCs w:val="24"/>
          <w:lang w:val="pt-PT"/>
        </w:rPr>
        <w:t xml:space="preserve"> um interesse público verdadeiro em um sentido estritamente objetivo, os estudos científicos ajudam a </w:t>
      </w:r>
      <w:r w:rsidRPr="00EC1DB3">
        <w:rPr>
          <w:rFonts w:ascii="Times New Roman" w:hAnsi="Times New Roman" w:cs="Times New Roman"/>
          <w:i/>
          <w:sz w:val="24"/>
          <w:szCs w:val="24"/>
          <w:lang w:val="pt-PT"/>
        </w:rPr>
        <w:t>definir</w:t>
      </w:r>
      <w:r>
        <w:rPr>
          <w:rFonts w:ascii="Times New Roman" w:hAnsi="Times New Roman" w:cs="Times New Roman"/>
          <w:sz w:val="24"/>
          <w:szCs w:val="24"/>
          <w:lang w:val="pt-PT"/>
        </w:rPr>
        <w:t xml:space="preserve"> um interesse público, e por isso exercem um papel de grande importância na tomada de decisões públicas. </w:t>
      </w:r>
    </w:p>
    <w:p w:rsidR="00C6573C" w:rsidRDefault="00C6573C" w:rsidP="00C6573C">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A interação entre o interesse público e o privado tem ganhado considerável destaque entre os pesquisadores das organizações e de políticas públicas. Estudos recentes dedicaram-se a analisar as atividades que envolvem organizações públicas e privadas conjuntamente e, inevitavelmente, esbarram na dificuldade de definir o que é o interesse público. Mahoney </w:t>
      </w:r>
      <w:r w:rsidRPr="009B1C2A">
        <w:rPr>
          <w:rFonts w:ascii="Times New Roman" w:hAnsi="Times New Roman" w:cs="Times New Roman"/>
          <w:sz w:val="24"/>
          <w:szCs w:val="24"/>
          <w:lang w:val="pt-PT"/>
        </w:rPr>
        <w:t>et al.</w:t>
      </w:r>
      <w:r>
        <w:rPr>
          <w:rFonts w:ascii="Times New Roman" w:hAnsi="Times New Roman" w:cs="Times New Roman"/>
          <w:sz w:val="24"/>
          <w:szCs w:val="24"/>
          <w:lang w:val="pt-PT"/>
        </w:rPr>
        <w:t xml:space="preserve"> (2009) o descrevem como um amálgama de interesses privados e individuais interdependen</w:t>
      </w:r>
      <w:r w:rsidR="00713785">
        <w:rPr>
          <w:rFonts w:ascii="Times New Roman" w:hAnsi="Times New Roman" w:cs="Times New Roman"/>
          <w:sz w:val="24"/>
          <w:szCs w:val="24"/>
          <w:lang w:val="pt-PT"/>
        </w:rPr>
        <w:t>tes que mudam ao longo do tempo:</w:t>
      </w:r>
    </w:p>
    <w:p w:rsidR="00C6573C" w:rsidRDefault="00C6573C" w:rsidP="00C6573C">
      <w:pPr>
        <w:spacing w:line="360" w:lineRule="auto"/>
        <w:rPr>
          <w:rFonts w:ascii="Times New Roman" w:hAnsi="Times New Roman" w:cs="Times New Roman"/>
          <w:sz w:val="24"/>
          <w:szCs w:val="24"/>
          <w:lang w:val="pt-PT"/>
        </w:rPr>
      </w:pPr>
    </w:p>
    <w:p w:rsidR="00C6573C" w:rsidRPr="00F47A40" w:rsidRDefault="00C6573C" w:rsidP="00C6573C">
      <w:pPr>
        <w:ind w:left="2268"/>
        <w:rPr>
          <w:rFonts w:ascii="Times New Roman" w:hAnsi="Times New Roman" w:cs="Times New Roman"/>
          <w:lang w:val="en-US"/>
        </w:rPr>
      </w:pPr>
      <w:r w:rsidRPr="00E05304">
        <w:rPr>
          <w:rFonts w:ascii="Times New Roman" w:hAnsi="Times New Roman" w:cs="Times New Roman"/>
          <w:lang w:val="en-US"/>
        </w:rPr>
        <w:t>In general, public interests are well def</w:t>
      </w:r>
      <w:r>
        <w:rPr>
          <w:rFonts w:ascii="Times New Roman" w:hAnsi="Times New Roman" w:cs="Times New Roman"/>
          <w:lang w:val="en-US"/>
        </w:rPr>
        <w:t>i</w:t>
      </w:r>
      <w:r w:rsidRPr="00E05304">
        <w:rPr>
          <w:rFonts w:ascii="Times New Roman" w:hAnsi="Times New Roman" w:cs="Times New Roman"/>
          <w:lang w:val="en-US"/>
        </w:rPr>
        <w:t>ned only when private interests can be aligned or aggregated cogently. Almost without exception, the public interest favors some private interests over others. Ill-def</w:t>
      </w:r>
      <w:r>
        <w:rPr>
          <w:rFonts w:ascii="Times New Roman" w:hAnsi="Times New Roman" w:cs="Times New Roman"/>
          <w:lang w:val="en-US"/>
        </w:rPr>
        <w:t>i</w:t>
      </w:r>
      <w:r w:rsidRPr="00E05304">
        <w:rPr>
          <w:rFonts w:ascii="Times New Roman" w:hAnsi="Times New Roman" w:cs="Times New Roman"/>
          <w:lang w:val="en-US"/>
        </w:rPr>
        <w:t xml:space="preserve">ned </w:t>
      </w:r>
      <w:r>
        <w:rPr>
          <w:rFonts w:ascii="Times New Roman" w:hAnsi="Times New Roman" w:cs="Times New Roman"/>
          <w:lang w:val="en-US"/>
        </w:rPr>
        <w:t>public interests may favor specifi</w:t>
      </w:r>
      <w:r w:rsidRPr="00E05304">
        <w:rPr>
          <w:rFonts w:ascii="Times New Roman" w:hAnsi="Times New Roman" w:cs="Times New Roman"/>
          <w:lang w:val="en-US"/>
        </w:rPr>
        <w:t>c organizations and individuals whose interests would not be favored if all members of a community were represented equally. In general, public interests run along a spectrum from poorly to well defined. Und</w:t>
      </w:r>
      <w:r>
        <w:rPr>
          <w:rFonts w:ascii="Times New Roman" w:hAnsi="Times New Roman" w:cs="Times New Roman"/>
          <w:lang w:val="en-US"/>
        </w:rPr>
        <w:t>er this conceptualization, speci</w:t>
      </w:r>
      <w:r w:rsidRPr="00E05304">
        <w:rPr>
          <w:rFonts w:ascii="Times New Roman" w:hAnsi="Times New Roman" w:cs="Times New Roman"/>
          <w:lang w:val="en-US"/>
        </w:rPr>
        <w:t>f</w:t>
      </w:r>
      <w:r>
        <w:rPr>
          <w:rFonts w:ascii="Times New Roman" w:hAnsi="Times New Roman" w:cs="Times New Roman"/>
          <w:lang w:val="en-US"/>
        </w:rPr>
        <w:t>i</w:t>
      </w:r>
      <w:r w:rsidRPr="00E05304">
        <w:rPr>
          <w:rFonts w:ascii="Times New Roman" w:hAnsi="Times New Roman" w:cs="Times New Roman"/>
          <w:lang w:val="en-US"/>
        </w:rPr>
        <w:t>c interests may become more or less aligned over time and shift in charac</w:t>
      </w:r>
      <w:r>
        <w:rPr>
          <w:rFonts w:ascii="Times New Roman" w:hAnsi="Times New Roman" w:cs="Times New Roman"/>
          <w:lang w:val="en-US"/>
        </w:rPr>
        <w:t>ter between private and public (MAHONEY et al., 2009, p. 1034)</w:t>
      </w:r>
      <w:r w:rsidRPr="00F47A40">
        <w:rPr>
          <w:rFonts w:ascii="Times New Roman" w:hAnsi="Times New Roman" w:cs="Times New Roman"/>
          <w:lang w:val="en-US"/>
        </w:rPr>
        <w:t>.</w:t>
      </w:r>
    </w:p>
    <w:p w:rsidR="00C6573C" w:rsidRPr="00F47A40" w:rsidRDefault="00C6573C" w:rsidP="00C6573C">
      <w:pPr>
        <w:spacing w:line="360" w:lineRule="auto"/>
        <w:rPr>
          <w:rFonts w:ascii="Times New Roman" w:hAnsi="Times New Roman" w:cs="Times New Roman"/>
          <w:sz w:val="24"/>
          <w:szCs w:val="24"/>
          <w:lang w:val="en-US"/>
        </w:rPr>
      </w:pPr>
    </w:p>
    <w:p w:rsidR="00C6573C" w:rsidRDefault="00C6573C" w:rsidP="00C6573C">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lastRenderedPageBreak/>
        <w:t xml:space="preserve">Para Nelson e </w:t>
      </w:r>
      <w:r w:rsidRPr="009548EE">
        <w:rPr>
          <w:rFonts w:ascii="Times New Roman" w:hAnsi="Times New Roman" w:cs="Times New Roman"/>
          <w:sz w:val="24"/>
          <w:szCs w:val="24"/>
          <w:lang w:val="pt-PT"/>
        </w:rPr>
        <w:t>Winter (</w:t>
      </w:r>
      <w:r w:rsidR="00D42A16">
        <w:rPr>
          <w:rFonts w:ascii="Times New Roman" w:hAnsi="Times New Roman" w:cs="Times New Roman"/>
          <w:sz w:val="24"/>
          <w:szCs w:val="24"/>
          <w:lang w:val="pt-PT"/>
        </w:rPr>
        <w:t>1982</w:t>
      </w:r>
      <w:r w:rsidRPr="009548EE">
        <w:rPr>
          <w:rFonts w:ascii="Times New Roman" w:hAnsi="Times New Roman" w:cs="Times New Roman"/>
          <w:sz w:val="24"/>
          <w:szCs w:val="24"/>
          <w:lang w:val="pt-PT"/>
        </w:rPr>
        <w:t>),</w:t>
      </w:r>
      <w:r>
        <w:rPr>
          <w:rFonts w:ascii="Times New Roman" w:hAnsi="Times New Roman" w:cs="Times New Roman"/>
          <w:sz w:val="24"/>
          <w:szCs w:val="24"/>
          <w:lang w:val="pt-PT"/>
        </w:rPr>
        <w:t xml:space="preserve"> tanto economistas como cientistas políticos entendem que </w:t>
      </w:r>
      <w:r w:rsidRPr="0068101A">
        <w:rPr>
          <w:rFonts w:ascii="Times New Roman" w:hAnsi="Times New Roman" w:cs="Times New Roman"/>
          <w:sz w:val="24"/>
          <w:szCs w:val="24"/>
          <w:lang w:val="pt-PT"/>
        </w:rPr>
        <w:t xml:space="preserve">o interesse </w:t>
      </w:r>
      <w:r>
        <w:rPr>
          <w:rFonts w:ascii="Times New Roman" w:hAnsi="Times New Roman" w:cs="Times New Roman"/>
          <w:sz w:val="24"/>
          <w:szCs w:val="24"/>
          <w:lang w:val="pt-PT"/>
        </w:rPr>
        <w:t xml:space="preserve">público é mais uma figura de linguagem do que uma entidade concreta com metas identificáveis. Com efeito, o público surge como resultado de diversos interesses, que em muitos casos são divergentes entre si, fazendo com que a elaboração e a revisão de políticas públicas constituam um complexo jogo de múltiplos atores. </w:t>
      </w:r>
    </w:p>
    <w:p w:rsidR="00C6573C" w:rsidRDefault="00C6573C" w:rsidP="00C6573C">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ab/>
        <w:t>Os mercados de energia já nascem de decisões políticas que envolvem um interesse público. Nos diversos países em que a produção de biocombustíveis tem relevância, seus mercados foram instituídos por meio de instrumentos intervencionistas, o que politizou seu</w:t>
      </w:r>
      <w:r w:rsidR="004B4478">
        <w:rPr>
          <w:rFonts w:ascii="Times New Roman" w:hAnsi="Times New Roman" w:cs="Times New Roman"/>
          <w:sz w:val="24"/>
          <w:szCs w:val="24"/>
          <w:lang w:val="pt-PT"/>
        </w:rPr>
        <w:t xml:space="preserve"> processo de formação. E</w:t>
      </w:r>
      <w:r>
        <w:rPr>
          <w:rFonts w:ascii="Times New Roman" w:hAnsi="Times New Roman" w:cs="Times New Roman"/>
          <w:sz w:val="24"/>
          <w:szCs w:val="24"/>
          <w:lang w:val="pt-PT"/>
        </w:rPr>
        <w:t xml:space="preserve">m seguida </w:t>
      </w:r>
      <w:r w:rsidR="004B4478">
        <w:rPr>
          <w:rFonts w:ascii="Times New Roman" w:hAnsi="Times New Roman" w:cs="Times New Roman"/>
          <w:sz w:val="24"/>
          <w:szCs w:val="24"/>
          <w:lang w:val="pt-PT"/>
        </w:rPr>
        <w:t xml:space="preserve">serão abordadas as </w:t>
      </w:r>
      <w:r>
        <w:rPr>
          <w:rFonts w:ascii="Times New Roman" w:hAnsi="Times New Roman" w:cs="Times New Roman"/>
          <w:sz w:val="24"/>
          <w:szCs w:val="24"/>
          <w:lang w:val="pt-PT"/>
        </w:rPr>
        <w:t>políticas têm influenciado a produção e o</w:t>
      </w:r>
      <w:r w:rsidR="004B4478">
        <w:rPr>
          <w:rFonts w:ascii="Times New Roman" w:hAnsi="Times New Roman" w:cs="Times New Roman"/>
          <w:sz w:val="24"/>
          <w:szCs w:val="24"/>
          <w:lang w:val="pt-PT"/>
        </w:rPr>
        <w:t xml:space="preserve"> </w:t>
      </w:r>
      <w:r>
        <w:rPr>
          <w:rFonts w:ascii="Times New Roman" w:hAnsi="Times New Roman" w:cs="Times New Roman"/>
          <w:sz w:val="24"/>
          <w:szCs w:val="24"/>
          <w:lang w:val="pt-PT"/>
        </w:rPr>
        <w:t>consumo de biocombustíveis.</w:t>
      </w:r>
    </w:p>
    <w:p w:rsidR="00C6573C" w:rsidRDefault="00C6573C" w:rsidP="00C6573C">
      <w:pPr>
        <w:spacing w:line="360" w:lineRule="auto"/>
        <w:rPr>
          <w:rFonts w:ascii="Times New Roman" w:hAnsi="Times New Roman" w:cs="Times New Roman"/>
          <w:sz w:val="24"/>
          <w:szCs w:val="24"/>
        </w:rPr>
      </w:pPr>
    </w:p>
    <w:p w:rsidR="00C6573C" w:rsidRPr="00740E2A" w:rsidRDefault="00C6573C" w:rsidP="00740E2A">
      <w:pPr>
        <w:pStyle w:val="Ttulo2"/>
      </w:pPr>
      <w:bookmarkStart w:id="56" w:name="_Toc330506321"/>
      <w:bookmarkStart w:id="57" w:name="_Toc333911350"/>
      <w:r w:rsidRPr="00740E2A">
        <w:t>2.3 Políticas públicas para produção e consumo de biocombustíveis</w:t>
      </w:r>
      <w:bookmarkEnd w:id="56"/>
      <w:bookmarkEnd w:id="57"/>
    </w:p>
    <w:p w:rsidR="00C6573C" w:rsidRDefault="00C6573C" w:rsidP="00C6573C">
      <w:pPr>
        <w:spacing w:line="360" w:lineRule="auto"/>
        <w:ind w:firstLine="708"/>
        <w:rPr>
          <w:rFonts w:ascii="Times New Roman" w:hAnsi="Times New Roman" w:cs="Times New Roman"/>
          <w:sz w:val="24"/>
          <w:szCs w:val="24"/>
          <w:lang w:val="pt-PT"/>
        </w:rPr>
      </w:pP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lang w:val="pt-PT"/>
        </w:rPr>
        <w:t xml:space="preserve">Com programas governamentais específicos, a </w:t>
      </w:r>
      <w:r w:rsidRPr="006F6023">
        <w:rPr>
          <w:rFonts w:ascii="Times New Roman" w:hAnsi="Times New Roman" w:cs="Times New Roman"/>
          <w:sz w:val="24"/>
          <w:szCs w:val="24"/>
        </w:rPr>
        <w:t xml:space="preserve">produção </w:t>
      </w:r>
      <w:r>
        <w:rPr>
          <w:rFonts w:ascii="Times New Roman" w:hAnsi="Times New Roman" w:cs="Times New Roman"/>
          <w:sz w:val="24"/>
          <w:szCs w:val="24"/>
        </w:rPr>
        <w:t>de biocombustíveis cresceu fortemente na última década</w:t>
      </w:r>
      <w:r w:rsidRPr="006F6023">
        <w:rPr>
          <w:rFonts w:ascii="Times New Roman" w:hAnsi="Times New Roman" w:cs="Times New Roman"/>
          <w:sz w:val="24"/>
          <w:szCs w:val="24"/>
        </w:rPr>
        <w:t xml:space="preserve">, </w:t>
      </w:r>
      <w:r>
        <w:rPr>
          <w:rFonts w:ascii="Times New Roman" w:hAnsi="Times New Roman" w:cs="Times New Roman"/>
          <w:sz w:val="24"/>
          <w:szCs w:val="24"/>
        </w:rPr>
        <w:t>gerando</w:t>
      </w:r>
      <w:r w:rsidRPr="006F6023">
        <w:rPr>
          <w:rFonts w:ascii="Times New Roman" w:hAnsi="Times New Roman" w:cs="Times New Roman"/>
          <w:sz w:val="24"/>
          <w:szCs w:val="24"/>
        </w:rPr>
        <w:t xml:space="preserve"> impactos sócio-econômicos significativos e di</w:t>
      </w:r>
      <w:r>
        <w:rPr>
          <w:rFonts w:ascii="Times New Roman" w:hAnsi="Times New Roman" w:cs="Times New Roman"/>
          <w:sz w:val="24"/>
          <w:szCs w:val="24"/>
        </w:rPr>
        <w:t>ferenciados nos países produtores. Em termo</w:t>
      </w:r>
      <w:r w:rsidRPr="006F6023">
        <w:rPr>
          <w:rFonts w:ascii="Times New Roman" w:hAnsi="Times New Roman" w:cs="Times New Roman"/>
          <w:sz w:val="24"/>
          <w:szCs w:val="24"/>
        </w:rPr>
        <w:t>s</w:t>
      </w:r>
      <w:r>
        <w:rPr>
          <w:rFonts w:ascii="Times New Roman" w:hAnsi="Times New Roman" w:cs="Times New Roman"/>
          <w:sz w:val="24"/>
          <w:szCs w:val="24"/>
        </w:rPr>
        <w:t xml:space="preserve"> mundiais, os</w:t>
      </w:r>
      <w:r w:rsidRPr="006F6023">
        <w:rPr>
          <w:rFonts w:ascii="Times New Roman" w:hAnsi="Times New Roman" w:cs="Times New Roman"/>
          <w:sz w:val="24"/>
          <w:szCs w:val="24"/>
        </w:rPr>
        <w:t xml:space="preserve"> números da produção impressionam: entre 2000 e 2009, a produção de etanol passou de 16,9 milhões de m</w:t>
      </w:r>
      <w:r w:rsidRPr="006F6023">
        <w:rPr>
          <w:rFonts w:ascii="Times New Roman" w:hAnsi="Times New Roman" w:cs="Times New Roman"/>
          <w:sz w:val="24"/>
          <w:szCs w:val="24"/>
          <w:vertAlign w:val="superscript"/>
        </w:rPr>
        <w:t>3</w:t>
      </w:r>
      <w:r w:rsidRPr="006F6023">
        <w:rPr>
          <w:rFonts w:ascii="Times New Roman" w:hAnsi="Times New Roman" w:cs="Times New Roman"/>
          <w:sz w:val="24"/>
          <w:szCs w:val="24"/>
        </w:rPr>
        <w:t xml:space="preserve"> para 72 milhões de m</w:t>
      </w:r>
      <w:r w:rsidRPr="006F6023">
        <w:rPr>
          <w:rFonts w:ascii="Times New Roman" w:hAnsi="Times New Roman" w:cs="Times New Roman"/>
          <w:sz w:val="24"/>
          <w:szCs w:val="24"/>
          <w:vertAlign w:val="superscript"/>
        </w:rPr>
        <w:t>3</w:t>
      </w:r>
      <w:r w:rsidRPr="006F6023">
        <w:rPr>
          <w:rFonts w:ascii="Times New Roman" w:hAnsi="Times New Roman" w:cs="Times New Roman"/>
          <w:sz w:val="24"/>
          <w:szCs w:val="24"/>
        </w:rPr>
        <w:t>. Os números do biodiesel são mais expressivos ainda, tendo a produção saltado de 800 mil m</w:t>
      </w:r>
      <w:r w:rsidRPr="006F6023">
        <w:rPr>
          <w:rFonts w:ascii="Times New Roman" w:hAnsi="Times New Roman" w:cs="Times New Roman"/>
          <w:sz w:val="24"/>
          <w:szCs w:val="24"/>
          <w:vertAlign w:val="superscript"/>
        </w:rPr>
        <w:t>3</w:t>
      </w:r>
      <w:r w:rsidRPr="006F6023">
        <w:rPr>
          <w:rFonts w:ascii="Times New Roman" w:hAnsi="Times New Roman" w:cs="Times New Roman"/>
          <w:sz w:val="24"/>
          <w:szCs w:val="24"/>
        </w:rPr>
        <w:t xml:space="preserve"> para 14,7 milhões de m</w:t>
      </w:r>
      <w:r w:rsidRPr="006F6023">
        <w:rPr>
          <w:rFonts w:ascii="Times New Roman" w:hAnsi="Times New Roman" w:cs="Times New Roman"/>
          <w:sz w:val="24"/>
          <w:szCs w:val="24"/>
          <w:vertAlign w:val="superscript"/>
        </w:rPr>
        <w:t>3</w:t>
      </w:r>
      <w:r>
        <w:rPr>
          <w:rFonts w:ascii="Times New Roman" w:hAnsi="Times New Roman" w:cs="Times New Roman"/>
          <w:sz w:val="24"/>
          <w:szCs w:val="24"/>
        </w:rPr>
        <w:t xml:space="preserve"> (SORDA </w:t>
      </w:r>
      <w:r w:rsidRPr="00B71DC6">
        <w:rPr>
          <w:rFonts w:ascii="Times New Roman" w:hAnsi="Times New Roman" w:cs="Times New Roman"/>
          <w:sz w:val="24"/>
          <w:szCs w:val="24"/>
        </w:rPr>
        <w:t>et al.,</w:t>
      </w:r>
      <w:r>
        <w:rPr>
          <w:rFonts w:ascii="Times New Roman" w:hAnsi="Times New Roman" w:cs="Times New Roman"/>
          <w:sz w:val="24"/>
          <w:szCs w:val="24"/>
        </w:rPr>
        <w:t xml:space="preserve"> 2010).</w:t>
      </w:r>
    </w:p>
    <w:p w:rsidR="00C6573C" w:rsidRDefault="00C6573C" w:rsidP="00C6573C">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A presença de ações governamentais orientadas para o fomento da produção e consumo de biocombustíveis se verifica em diversos países e regiões. Estados Unidos, União Europeia, China, Índia e Argentina</w:t>
      </w:r>
      <w:r>
        <w:rPr>
          <w:rStyle w:val="Refdenotaderodap"/>
          <w:rFonts w:ascii="Times New Roman" w:hAnsi="Times New Roman" w:cs="Times New Roman"/>
          <w:sz w:val="24"/>
          <w:szCs w:val="24"/>
          <w:lang w:val="pt-PT"/>
        </w:rPr>
        <w:footnoteReference w:id="17"/>
      </w:r>
      <w:r>
        <w:rPr>
          <w:rFonts w:ascii="Times New Roman" w:hAnsi="Times New Roman" w:cs="Times New Roman"/>
          <w:sz w:val="24"/>
          <w:szCs w:val="24"/>
          <w:lang w:val="pt-PT"/>
        </w:rPr>
        <w:t xml:space="preserve"> são exemplos de como o governo pode alterar incentivos aos agentes econômicos e promover este setor. </w:t>
      </w:r>
      <w:r w:rsidRPr="009D0174">
        <w:rPr>
          <w:rFonts w:ascii="Times New Roman" w:hAnsi="Times New Roman" w:cs="Times New Roman"/>
          <w:sz w:val="24"/>
          <w:szCs w:val="24"/>
          <w:lang w:val="pt-PT"/>
        </w:rPr>
        <w:t xml:space="preserve">Em geral, os objetivos das medidas governamentais para incentivar </w:t>
      </w:r>
      <w:r>
        <w:rPr>
          <w:rFonts w:ascii="Times New Roman" w:hAnsi="Times New Roman" w:cs="Times New Roman"/>
          <w:sz w:val="24"/>
          <w:szCs w:val="24"/>
          <w:lang w:val="pt-PT"/>
        </w:rPr>
        <w:t>ess</w:t>
      </w:r>
      <w:r w:rsidRPr="009D0174">
        <w:rPr>
          <w:rFonts w:ascii="Times New Roman" w:hAnsi="Times New Roman" w:cs="Times New Roman"/>
          <w:sz w:val="24"/>
          <w:szCs w:val="24"/>
          <w:lang w:val="pt-PT"/>
        </w:rPr>
        <w:t xml:space="preserve">a indústria passam pela redução da dependência energética, aumento da participação das </w:t>
      </w:r>
      <w:r>
        <w:rPr>
          <w:rFonts w:ascii="Times New Roman" w:hAnsi="Times New Roman" w:cs="Times New Roman"/>
          <w:sz w:val="24"/>
          <w:szCs w:val="24"/>
          <w:lang w:val="pt-PT"/>
        </w:rPr>
        <w:t xml:space="preserve">energias renováveis e elevação </w:t>
      </w:r>
      <w:r w:rsidRPr="009D0174">
        <w:rPr>
          <w:rFonts w:ascii="Times New Roman" w:hAnsi="Times New Roman" w:cs="Times New Roman"/>
          <w:sz w:val="24"/>
          <w:szCs w:val="24"/>
          <w:lang w:val="pt-PT"/>
        </w:rPr>
        <w:t>da renda do setor agrícola.</w:t>
      </w:r>
    </w:p>
    <w:p w:rsidR="00C6573C" w:rsidRDefault="00C6573C" w:rsidP="00C6573C">
      <w:pPr>
        <w:spacing w:line="360" w:lineRule="auto"/>
        <w:ind w:firstLine="708"/>
        <w:rPr>
          <w:rFonts w:ascii="Times New Roman" w:hAnsi="Times New Roman" w:cs="Times New Roman"/>
          <w:sz w:val="24"/>
          <w:szCs w:val="24"/>
          <w:lang w:val="pt-PT"/>
        </w:rPr>
      </w:pPr>
      <w:r w:rsidRPr="00EC06C5">
        <w:rPr>
          <w:rFonts w:ascii="Times New Roman" w:hAnsi="Times New Roman" w:cs="Times New Roman"/>
          <w:sz w:val="24"/>
          <w:szCs w:val="24"/>
          <w:lang w:val="pt-PT"/>
        </w:rPr>
        <w:t>Em meio a tantos argumentos, é importante enfatizar que</w:t>
      </w:r>
      <w:r>
        <w:rPr>
          <w:rFonts w:ascii="Times New Roman" w:hAnsi="Times New Roman" w:cs="Times New Roman"/>
          <w:sz w:val="24"/>
          <w:szCs w:val="24"/>
          <w:lang w:val="pt-PT"/>
        </w:rPr>
        <w:t>, apesar de estudos apontarem que a utilização de energias renováveis com sustentabilidade ambiental é uma das preocupações associadas à estratégia brasileira na área de biocombustíveis (e. g. IPEA, 2010),</w:t>
      </w:r>
      <w:r w:rsidRPr="00EC06C5">
        <w:rPr>
          <w:rFonts w:ascii="Times New Roman" w:hAnsi="Times New Roman" w:cs="Times New Roman"/>
          <w:sz w:val="24"/>
          <w:szCs w:val="24"/>
          <w:lang w:val="pt-PT"/>
        </w:rPr>
        <w:t xml:space="preserve"> a principal motivação para a adoção de políticas de fomento à </w:t>
      </w:r>
      <w:r>
        <w:rPr>
          <w:rFonts w:ascii="Times New Roman" w:hAnsi="Times New Roman" w:cs="Times New Roman"/>
          <w:sz w:val="24"/>
          <w:szCs w:val="24"/>
          <w:lang w:val="pt-PT"/>
        </w:rPr>
        <w:t>sua produção no país</w:t>
      </w:r>
      <w:r w:rsidRPr="00EC06C5">
        <w:rPr>
          <w:rFonts w:ascii="Times New Roman" w:hAnsi="Times New Roman" w:cs="Times New Roman"/>
          <w:sz w:val="24"/>
          <w:szCs w:val="24"/>
          <w:lang w:val="pt-PT"/>
        </w:rPr>
        <w:t xml:space="preserve"> foi de segurança energética, e não de caráter ambiental.</w:t>
      </w:r>
    </w:p>
    <w:p w:rsidR="00C6573C" w:rsidRPr="00EC06C5" w:rsidRDefault="00C6573C" w:rsidP="00C6573C">
      <w:pPr>
        <w:spacing w:line="360" w:lineRule="auto"/>
        <w:ind w:firstLine="708"/>
        <w:rPr>
          <w:rFonts w:ascii="Times New Roman" w:hAnsi="Times New Roman" w:cs="Times New Roman"/>
          <w:sz w:val="24"/>
          <w:szCs w:val="24"/>
          <w:lang w:val="pt-PT"/>
        </w:rPr>
      </w:pPr>
      <w:r w:rsidRPr="00EC06C5">
        <w:rPr>
          <w:rFonts w:ascii="Times New Roman" w:hAnsi="Times New Roman" w:cs="Times New Roman"/>
          <w:sz w:val="24"/>
          <w:szCs w:val="24"/>
          <w:lang w:val="pt-PT"/>
        </w:rPr>
        <w:t>Esse movimento contrasta com programas gov</w:t>
      </w:r>
      <w:r>
        <w:rPr>
          <w:rFonts w:ascii="Times New Roman" w:hAnsi="Times New Roman" w:cs="Times New Roman"/>
          <w:sz w:val="24"/>
          <w:szCs w:val="24"/>
          <w:lang w:val="pt-PT"/>
        </w:rPr>
        <w:t>e</w:t>
      </w:r>
      <w:r w:rsidRPr="00EC06C5">
        <w:rPr>
          <w:rFonts w:ascii="Times New Roman" w:hAnsi="Times New Roman" w:cs="Times New Roman"/>
          <w:sz w:val="24"/>
          <w:szCs w:val="24"/>
          <w:lang w:val="pt-PT"/>
        </w:rPr>
        <w:t xml:space="preserve">rnamentais de alguns países europeus, onde a legislação ambiental adquire maior força e é capaz de impor efetivamente restrições à </w:t>
      </w:r>
      <w:r w:rsidRPr="00EC06C5">
        <w:rPr>
          <w:rFonts w:ascii="Times New Roman" w:hAnsi="Times New Roman" w:cs="Times New Roman"/>
          <w:sz w:val="24"/>
          <w:szCs w:val="24"/>
          <w:lang w:val="pt-PT"/>
        </w:rPr>
        <w:lastRenderedPageBreak/>
        <w:t>atividade industrial.</w:t>
      </w:r>
      <w:r>
        <w:rPr>
          <w:rFonts w:ascii="Times New Roman" w:hAnsi="Times New Roman" w:cs="Times New Roman"/>
          <w:sz w:val="24"/>
          <w:szCs w:val="24"/>
          <w:lang w:val="pt-PT"/>
        </w:rPr>
        <w:t xml:space="preserve"> O fato de o setor de transportes exercer um grande impacto sobre as emissões de GEE e outros gases fez com que países desenvolvidos estabelecessem metas para adoção de combustíveis renováveis no setor.</w:t>
      </w:r>
    </w:p>
    <w:p w:rsidR="00C6573C" w:rsidRDefault="00C6573C" w:rsidP="00C6573C">
      <w:pPr>
        <w:spacing w:line="360" w:lineRule="auto"/>
        <w:ind w:firstLine="708"/>
        <w:rPr>
          <w:rFonts w:ascii="Times New Roman" w:hAnsi="Times New Roman" w:cs="Times New Roman"/>
          <w:sz w:val="24"/>
          <w:szCs w:val="24"/>
          <w:lang w:val="pt-PT"/>
        </w:rPr>
      </w:pPr>
      <w:r w:rsidRPr="00A037E9">
        <w:rPr>
          <w:rFonts w:ascii="Times New Roman" w:hAnsi="Times New Roman" w:cs="Times New Roman"/>
          <w:sz w:val="24"/>
          <w:szCs w:val="24"/>
          <w:lang w:val="pt-PT"/>
        </w:rPr>
        <w:t>É interessante notar que</w:t>
      </w:r>
      <w:r>
        <w:rPr>
          <w:rFonts w:ascii="Times New Roman" w:hAnsi="Times New Roman" w:cs="Times New Roman"/>
          <w:sz w:val="24"/>
          <w:szCs w:val="24"/>
          <w:lang w:val="pt-PT"/>
        </w:rPr>
        <w:t>, em geral,</w:t>
      </w:r>
      <w:r w:rsidRPr="00A037E9">
        <w:rPr>
          <w:rFonts w:ascii="Times New Roman" w:hAnsi="Times New Roman" w:cs="Times New Roman"/>
          <w:sz w:val="24"/>
          <w:szCs w:val="24"/>
          <w:lang w:val="pt-PT"/>
        </w:rPr>
        <w:t xml:space="preserve"> a produção de biocombustíveis ai</w:t>
      </w:r>
      <w:r>
        <w:rPr>
          <w:rFonts w:ascii="Times New Roman" w:hAnsi="Times New Roman" w:cs="Times New Roman"/>
          <w:sz w:val="24"/>
          <w:szCs w:val="24"/>
          <w:lang w:val="pt-PT"/>
        </w:rPr>
        <w:t>nda não é uma atividade rentável sem</w:t>
      </w:r>
      <w:r w:rsidRPr="00A037E9">
        <w:rPr>
          <w:rFonts w:ascii="Times New Roman" w:hAnsi="Times New Roman" w:cs="Times New Roman"/>
          <w:sz w:val="24"/>
          <w:szCs w:val="24"/>
          <w:lang w:val="pt-PT"/>
        </w:rPr>
        <w:t xml:space="preserve"> incentivos governamentais</w:t>
      </w:r>
      <w:r>
        <w:rPr>
          <w:rFonts w:ascii="Times New Roman" w:hAnsi="Times New Roman" w:cs="Times New Roman"/>
          <w:sz w:val="24"/>
          <w:szCs w:val="24"/>
          <w:lang w:val="pt-PT"/>
        </w:rPr>
        <w:t>, que incluem</w:t>
      </w:r>
      <w:r w:rsidRPr="00A037E9">
        <w:rPr>
          <w:rFonts w:ascii="Times New Roman" w:hAnsi="Times New Roman" w:cs="Times New Roman"/>
          <w:sz w:val="24"/>
          <w:szCs w:val="24"/>
          <w:lang w:val="pt-PT"/>
        </w:rPr>
        <w:t xml:space="preserve"> isenções fiscais, subsídios e outras formas de incentivos financeiros. </w:t>
      </w:r>
      <w:r w:rsidRPr="00255AF6">
        <w:rPr>
          <w:rFonts w:ascii="Times New Roman" w:hAnsi="Times New Roman" w:cs="Times New Roman"/>
          <w:sz w:val="24"/>
          <w:szCs w:val="24"/>
          <w:lang w:val="pt-PT"/>
        </w:rPr>
        <w:t xml:space="preserve">De acordo com a OCDE, os países pertencentes à organização gastaram cerca de US$ 15 bilhões em subsídios para biocombustíveis em 2007 (SORDA </w:t>
      </w:r>
      <w:r w:rsidRPr="00923112">
        <w:rPr>
          <w:rFonts w:ascii="Times New Roman" w:hAnsi="Times New Roman" w:cs="Times New Roman"/>
          <w:sz w:val="24"/>
          <w:szCs w:val="24"/>
          <w:lang w:val="pt-PT"/>
        </w:rPr>
        <w:t>et al</w:t>
      </w:r>
      <w:r>
        <w:rPr>
          <w:rFonts w:ascii="Times New Roman" w:hAnsi="Times New Roman" w:cs="Times New Roman"/>
          <w:sz w:val="24"/>
          <w:szCs w:val="24"/>
          <w:lang w:val="pt-PT"/>
        </w:rPr>
        <w:t>., 2010</w:t>
      </w:r>
      <w:r w:rsidRPr="00E0073F">
        <w:rPr>
          <w:rFonts w:ascii="Times New Roman" w:hAnsi="Times New Roman" w:cs="Times New Roman"/>
          <w:sz w:val="24"/>
          <w:szCs w:val="24"/>
          <w:lang w:val="pt-PT"/>
        </w:rPr>
        <w:t>).</w:t>
      </w:r>
      <w:r>
        <w:rPr>
          <w:rFonts w:ascii="Times New Roman" w:hAnsi="Times New Roman" w:cs="Times New Roman"/>
          <w:sz w:val="24"/>
          <w:szCs w:val="24"/>
          <w:lang w:val="pt-PT"/>
        </w:rPr>
        <w:t xml:space="preserve"> </w:t>
      </w:r>
    </w:p>
    <w:p w:rsidR="00C6573C" w:rsidRDefault="00C6573C" w:rsidP="00C6573C">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Um estudo da Global Subsid</w:t>
      </w:r>
      <w:r w:rsidR="00707439">
        <w:rPr>
          <w:rFonts w:ascii="Times New Roman" w:hAnsi="Times New Roman" w:cs="Times New Roman"/>
          <w:sz w:val="24"/>
          <w:szCs w:val="24"/>
          <w:lang w:val="pt-PT"/>
        </w:rPr>
        <w:t>ies Initiative indicou</w:t>
      </w:r>
      <w:r>
        <w:rPr>
          <w:rFonts w:ascii="Times New Roman" w:hAnsi="Times New Roman" w:cs="Times New Roman"/>
          <w:sz w:val="24"/>
          <w:szCs w:val="24"/>
          <w:lang w:val="pt-PT"/>
        </w:rPr>
        <w:t xml:space="preserve"> que em 2006, somente nos paíse</w:t>
      </w:r>
      <w:r w:rsidR="00707439">
        <w:rPr>
          <w:rFonts w:ascii="Times New Roman" w:hAnsi="Times New Roman" w:cs="Times New Roman"/>
          <w:sz w:val="24"/>
          <w:szCs w:val="24"/>
          <w:lang w:val="pt-PT"/>
        </w:rPr>
        <w:t>s membros da União Europeia</w:t>
      </w:r>
      <w:r>
        <w:rPr>
          <w:rFonts w:ascii="Times New Roman" w:hAnsi="Times New Roman" w:cs="Times New Roman"/>
          <w:sz w:val="24"/>
          <w:szCs w:val="24"/>
          <w:lang w:val="pt-PT"/>
        </w:rPr>
        <w:t>, foram gastos EUR 3,7 bilhões. De 2007 a 2010, porém, o mesmo instituto reporta significativa mudança nas política de</w:t>
      </w:r>
      <w:r w:rsidR="00707439">
        <w:rPr>
          <w:rFonts w:ascii="Times New Roman" w:hAnsi="Times New Roman" w:cs="Times New Roman"/>
          <w:sz w:val="24"/>
          <w:szCs w:val="24"/>
          <w:lang w:val="pt-PT"/>
        </w:rPr>
        <w:t xml:space="preserve"> apoio aos biocombustíveis no bloco econômico</w:t>
      </w:r>
      <w:r>
        <w:rPr>
          <w:rFonts w:ascii="Times New Roman" w:hAnsi="Times New Roman" w:cs="Times New Roman"/>
          <w:sz w:val="24"/>
          <w:szCs w:val="24"/>
          <w:lang w:val="pt-PT"/>
        </w:rPr>
        <w:t xml:space="preserve">. Em termos de recomendações, o instituto declara que as políticas de redução de impostos, apesar de imporem um custo aos orçamentos governamentais, são superiores às de mistura obrigatória, já que, comparativamente, há uma maior capacidade para controlá-las e mensurá-las. Ao final, contudo, devido à necessidade de redução do déficit público em muitos dos países-membros, a recomendação é de que tanto as políticas de mistura obrigatória, como as de isenção de impostos, dêem lugar à taxação mais elevada de combustíveis fósseis ou mesmo à adoção de um sistema </w:t>
      </w:r>
      <w:r w:rsidRPr="0098358F">
        <w:rPr>
          <w:rFonts w:ascii="Times New Roman" w:hAnsi="Times New Roman" w:cs="Times New Roman"/>
          <w:i/>
          <w:sz w:val="24"/>
          <w:szCs w:val="24"/>
          <w:lang w:val="pt-PT"/>
        </w:rPr>
        <w:t>cap-and-trade</w:t>
      </w:r>
      <w:r>
        <w:rPr>
          <w:rFonts w:ascii="Times New Roman" w:hAnsi="Times New Roman" w:cs="Times New Roman"/>
          <w:sz w:val="24"/>
          <w:szCs w:val="24"/>
          <w:lang w:val="pt-PT"/>
        </w:rPr>
        <w:t xml:space="preserve"> para as emissões de GEE.</w:t>
      </w:r>
    </w:p>
    <w:p w:rsidR="00C6573C" w:rsidRPr="007A16F0"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lang w:val="pt-PT"/>
        </w:rPr>
        <w:t xml:space="preserve">Nos Estados Unidos, movimento similar tem ocorrido com relação aos subsídios ao etanol convencional de milho. No final de 2011, deixou de ser renovada a lei que estabelecia a tarifa de importação de US$ 0,54 por galão ao etanol brasileiro e estipulava crédito tributário de US$ 0,45 por galão de etanol misturado à gasolina no país, o que custava cerca de US$ 6 bilhões por ano ao Tesouro norte-americano. Atualmente, a política de incentivo aos biocombustíveis nos Estados Unidos envolve metas para combustíveis avançados, implicando reservas de mercado para estes, de acordo com o potencial de redução de emissões e a matéria-prima utilizada, conforme especificado pelo </w:t>
      </w:r>
      <w:r w:rsidRPr="001D43EE">
        <w:rPr>
          <w:rFonts w:ascii="Times New Roman" w:hAnsi="Times New Roman" w:cs="Times New Roman"/>
          <w:i/>
          <w:sz w:val="24"/>
          <w:szCs w:val="24"/>
          <w:lang w:val="pt-PT"/>
        </w:rPr>
        <w:t>Renewable Fuel Standard 2</w:t>
      </w:r>
      <w:r>
        <w:rPr>
          <w:rFonts w:ascii="Times New Roman" w:hAnsi="Times New Roman" w:cs="Times New Roman"/>
          <w:sz w:val="24"/>
          <w:szCs w:val="24"/>
          <w:lang w:val="pt-PT"/>
        </w:rPr>
        <w:t>. Além disso, os projetos norte-americanos contam com financiamento de órgãos públicos como o DOE</w:t>
      </w:r>
      <w:r w:rsidR="00E477E7">
        <w:rPr>
          <w:rFonts w:ascii="Times New Roman" w:hAnsi="Times New Roman" w:cs="Times New Roman"/>
          <w:sz w:val="24"/>
          <w:szCs w:val="24"/>
          <w:lang w:val="pt-PT"/>
        </w:rPr>
        <w:t xml:space="preserve"> (Departamento de Energia)</w:t>
      </w:r>
      <w:r>
        <w:rPr>
          <w:rFonts w:ascii="Times New Roman" w:hAnsi="Times New Roman" w:cs="Times New Roman"/>
          <w:sz w:val="24"/>
          <w:szCs w:val="24"/>
          <w:lang w:val="pt-PT"/>
        </w:rPr>
        <w:t xml:space="preserve">. O </w:t>
      </w:r>
      <w:r w:rsidRPr="007A16F0">
        <w:rPr>
          <w:rFonts w:ascii="Times New Roman" w:hAnsi="Times New Roman" w:cs="Times New Roman"/>
          <w:i/>
          <w:sz w:val="24"/>
          <w:szCs w:val="24"/>
          <w:lang w:val="pt-PT"/>
        </w:rPr>
        <w:t>Biomass R&amp;D Board</w:t>
      </w:r>
      <w:r w:rsidRPr="007A16F0">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por exemplo, é uma </w:t>
      </w:r>
      <w:r w:rsidRPr="007A16F0">
        <w:rPr>
          <w:rFonts w:ascii="Times New Roman" w:hAnsi="Times New Roman" w:cs="Times New Roman"/>
          <w:sz w:val="24"/>
          <w:szCs w:val="24"/>
          <w:lang w:val="pt-PT"/>
        </w:rPr>
        <w:t xml:space="preserve">iniciativa que envolve colaboração </w:t>
      </w:r>
      <w:r>
        <w:rPr>
          <w:rFonts w:ascii="Times New Roman" w:hAnsi="Times New Roman" w:cs="Times New Roman"/>
          <w:sz w:val="24"/>
          <w:szCs w:val="24"/>
          <w:lang w:val="pt-PT"/>
        </w:rPr>
        <w:t xml:space="preserve">entre agências federais (DOE, EPA, USDA, entre outras) </w:t>
      </w:r>
      <w:r w:rsidRPr="007A16F0">
        <w:rPr>
          <w:rFonts w:ascii="Times New Roman" w:hAnsi="Times New Roman" w:cs="Times New Roman"/>
          <w:sz w:val="24"/>
          <w:szCs w:val="24"/>
          <w:lang w:val="pt-PT"/>
        </w:rPr>
        <w:t>e a Casa Branca,</w:t>
      </w:r>
      <w:r>
        <w:rPr>
          <w:rFonts w:ascii="Times New Roman" w:hAnsi="Times New Roman" w:cs="Times New Roman"/>
          <w:sz w:val="24"/>
          <w:szCs w:val="24"/>
          <w:lang w:val="pt-PT"/>
        </w:rPr>
        <w:t xml:space="preserve"> e disponibiliza recursos financeiros não reembolsáveis para a realização de pesquisas com biomassa no desenvolvimento de novas matérias-primas, novos biocombustíveis e bioprodutos. </w:t>
      </w:r>
    </w:p>
    <w:p w:rsidR="00C6573C" w:rsidRDefault="00C6573C" w:rsidP="00C6573C">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lastRenderedPageBreak/>
        <w:t>Considerando os múltiplos objetivos aos quais as políticas buscam atender, além dos possíveis efeitos colaterais como o aumento dos preços dos alimentos e aumento das emissões de GEE na produção agrícola, a produção de biocombustíveis demanda uma abordagem diferenciada para o desenho de políticas mais apropriadas. Como não existe um conjunto de políticas do tipo “</w:t>
      </w:r>
      <w:r w:rsidRPr="001E6F24">
        <w:rPr>
          <w:rFonts w:ascii="Times New Roman" w:hAnsi="Times New Roman" w:cs="Times New Roman"/>
          <w:i/>
          <w:sz w:val="24"/>
          <w:szCs w:val="24"/>
          <w:lang w:val="pt-PT"/>
        </w:rPr>
        <w:t>one size fits all</w:t>
      </w:r>
      <w:r>
        <w:rPr>
          <w:rFonts w:ascii="Times New Roman" w:hAnsi="Times New Roman" w:cs="Times New Roman"/>
          <w:sz w:val="24"/>
          <w:szCs w:val="24"/>
          <w:lang w:val="pt-PT"/>
        </w:rPr>
        <w:t>” para atender aos objetivos distintos e minimizar os efeitos negativos, esse desenho depende das condições e prioridades apresentadas por cada país  (OCDE, 2008).</w:t>
      </w:r>
    </w:p>
    <w:p w:rsidR="00C6573C" w:rsidRPr="003B51BF" w:rsidRDefault="00C6573C" w:rsidP="00C6573C">
      <w:pPr>
        <w:spacing w:line="360" w:lineRule="auto"/>
        <w:ind w:firstLine="708"/>
        <w:rPr>
          <w:rFonts w:ascii="Times New Roman" w:hAnsi="Times New Roman" w:cs="Times New Roman"/>
          <w:b/>
          <w:sz w:val="24"/>
          <w:szCs w:val="24"/>
          <w:lang w:val="pt-PT"/>
        </w:rPr>
      </w:pPr>
      <w:r>
        <w:rPr>
          <w:rFonts w:ascii="Times New Roman" w:hAnsi="Times New Roman" w:cs="Times New Roman"/>
          <w:sz w:val="24"/>
          <w:szCs w:val="24"/>
          <w:lang w:val="pt-PT"/>
        </w:rPr>
        <w:t>Cabe lembrar que as políticas governamentais diretamente relacionadas com a produção de biocombustíveis no Brasil, quais sejam, a política energética, a política ambiental e a política industrial, serão detalhadamente abordadas no capítulo 3.</w:t>
      </w:r>
    </w:p>
    <w:p w:rsidR="00C6573C" w:rsidRPr="00AE54E4" w:rsidRDefault="00C6573C" w:rsidP="00C6573C">
      <w:pPr>
        <w:spacing w:line="360" w:lineRule="auto"/>
        <w:rPr>
          <w:rFonts w:ascii="Times New Roman" w:hAnsi="Times New Roman" w:cs="Times New Roman"/>
          <w:sz w:val="24"/>
          <w:szCs w:val="24"/>
          <w:lang w:val="pt-PT"/>
        </w:rPr>
      </w:pPr>
    </w:p>
    <w:p w:rsidR="00C6573C" w:rsidRPr="00740E2A" w:rsidRDefault="00C6573C" w:rsidP="00740E2A">
      <w:pPr>
        <w:pStyle w:val="Ttulo2"/>
      </w:pPr>
      <w:bookmarkStart w:id="58" w:name="_Toc330506351"/>
      <w:bookmarkStart w:id="59" w:name="_Toc333911351"/>
      <w:r w:rsidRPr="00740E2A">
        <w:t>2.4 Dos biocombustíveis convencionais aos avançados?</w:t>
      </w:r>
      <w:bookmarkEnd w:id="58"/>
      <w:bookmarkEnd w:id="59"/>
    </w:p>
    <w:p w:rsidR="00C6573C" w:rsidRPr="00B538C3" w:rsidRDefault="00C6573C" w:rsidP="00C6573C">
      <w:pPr>
        <w:spacing w:line="360" w:lineRule="auto"/>
        <w:rPr>
          <w:rFonts w:ascii="Times New Roman" w:hAnsi="Times New Roman" w:cs="Times New Roman"/>
          <w:sz w:val="24"/>
          <w:szCs w:val="24"/>
        </w:rPr>
      </w:pP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Uma das principais dificuldades de estudos relativos à indústria de biocombustíveis se refere à rapidez com que os dados disponíveis se tornam desatualizados, com que mudam os participantes e as estratégias empresariais e com que os atores envolvidos na prod</w:t>
      </w:r>
      <w:r w:rsidR="00D30D6B">
        <w:rPr>
          <w:rFonts w:ascii="Times New Roman" w:hAnsi="Times New Roman" w:cs="Times New Roman"/>
          <w:sz w:val="24"/>
          <w:szCs w:val="24"/>
        </w:rPr>
        <w:t xml:space="preserve">ução precisam se adaptar. A seguir, busca-se esboçar </w:t>
      </w:r>
      <w:r>
        <w:rPr>
          <w:rFonts w:ascii="Times New Roman" w:hAnsi="Times New Roman" w:cs="Times New Roman"/>
          <w:sz w:val="24"/>
          <w:szCs w:val="24"/>
        </w:rPr>
        <w:t>algumas iniciativas envolvendo P&amp;D e estratégias empresariais que têm contribuído para acelerar transformações nessa indústria.</w:t>
      </w:r>
    </w:p>
    <w:p w:rsidR="00C6573C" w:rsidRDefault="00C6573C" w:rsidP="00C6573C">
      <w:pPr>
        <w:spacing w:line="360" w:lineRule="auto"/>
        <w:ind w:firstLine="708"/>
        <w:rPr>
          <w:rFonts w:ascii="Times New Roman" w:hAnsi="Times New Roman" w:cs="Times New Roman"/>
          <w:sz w:val="24"/>
          <w:szCs w:val="24"/>
        </w:rPr>
      </w:pPr>
      <w:r w:rsidRPr="001E3C1A">
        <w:rPr>
          <w:rFonts w:ascii="Times New Roman" w:hAnsi="Times New Roman" w:cs="Times New Roman"/>
          <w:sz w:val="24"/>
          <w:szCs w:val="24"/>
        </w:rPr>
        <w:t>Grosso modo, a biomassa é composta de lignocelulose</w:t>
      </w:r>
      <w:r>
        <w:rPr>
          <w:rFonts w:ascii="Times New Roman" w:hAnsi="Times New Roman" w:cs="Times New Roman"/>
          <w:sz w:val="24"/>
          <w:szCs w:val="24"/>
        </w:rPr>
        <w:t xml:space="preserve"> e açúcar, sendo que o</w:t>
      </w:r>
      <w:r w:rsidRPr="001E3C1A">
        <w:rPr>
          <w:rFonts w:ascii="Times New Roman" w:hAnsi="Times New Roman" w:cs="Times New Roman"/>
          <w:sz w:val="24"/>
          <w:szCs w:val="24"/>
        </w:rPr>
        <w:t>s principais componentes da lignocelu</w:t>
      </w:r>
      <w:r>
        <w:rPr>
          <w:rFonts w:ascii="Times New Roman" w:hAnsi="Times New Roman" w:cs="Times New Roman"/>
          <w:sz w:val="24"/>
          <w:szCs w:val="24"/>
        </w:rPr>
        <w:t xml:space="preserve">lose são a </w:t>
      </w:r>
      <w:r w:rsidRPr="001E3C1A">
        <w:rPr>
          <w:rFonts w:ascii="Times New Roman" w:hAnsi="Times New Roman" w:cs="Times New Roman"/>
          <w:sz w:val="24"/>
          <w:szCs w:val="24"/>
        </w:rPr>
        <w:t xml:space="preserve">celulose (30-50%), </w:t>
      </w:r>
      <w:r>
        <w:rPr>
          <w:rFonts w:ascii="Times New Roman" w:hAnsi="Times New Roman" w:cs="Times New Roman"/>
          <w:sz w:val="24"/>
          <w:szCs w:val="24"/>
        </w:rPr>
        <w:t xml:space="preserve">a </w:t>
      </w:r>
      <w:r w:rsidRPr="001E3C1A">
        <w:rPr>
          <w:rFonts w:ascii="Times New Roman" w:hAnsi="Times New Roman" w:cs="Times New Roman"/>
          <w:sz w:val="24"/>
          <w:szCs w:val="24"/>
        </w:rPr>
        <w:t>hemicelulose</w:t>
      </w:r>
      <w:r>
        <w:rPr>
          <w:rFonts w:ascii="Times New Roman" w:hAnsi="Times New Roman" w:cs="Times New Roman"/>
          <w:sz w:val="24"/>
          <w:szCs w:val="24"/>
        </w:rPr>
        <w:t xml:space="preserve"> (15-35%) e a lignina (10-30%) (DA COSTA SOUSA et al., 2009 </w:t>
      </w:r>
      <w:r w:rsidRPr="00740E2A">
        <w:rPr>
          <w:rFonts w:ascii="Times New Roman" w:hAnsi="Times New Roman" w:cs="Times New Roman"/>
          <w:sz w:val="24"/>
          <w:szCs w:val="24"/>
        </w:rPr>
        <w:t xml:space="preserve">apud </w:t>
      </w:r>
      <w:r>
        <w:rPr>
          <w:rFonts w:ascii="Times New Roman" w:hAnsi="Times New Roman" w:cs="Times New Roman"/>
          <w:sz w:val="24"/>
          <w:szCs w:val="24"/>
        </w:rPr>
        <w:t>DA SILVA, 2010)</w:t>
      </w:r>
      <w:r w:rsidRPr="001E3C1A">
        <w:rPr>
          <w:rFonts w:ascii="Times New Roman" w:hAnsi="Times New Roman" w:cs="Times New Roman"/>
          <w:sz w:val="24"/>
          <w:szCs w:val="24"/>
        </w:rPr>
        <w:t>. A produç</w:t>
      </w:r>
      <w:r>
        <w:rPr>
          <w:rFonts w:ascii="Times New Roman" w:hAnsi="Times New Roman" w:cs="Times New Roman"/>
          <w:sz w:val="24"/>
          <w:szCs w:val="24"/>
        </w:rPr>
        <w:t>ão de etanol convencional</w:t>
      </w:r>
      <w:r w:rsidRPr="001E3C1A">
        <w:rPr>
          <w:rFonts w:ascii="Times New Roman" w:hAnsi="Times New Roman" w:cs="Times New Roman"/>
          <w:sz w:val="24"/>
          <w:szCs w:val="24"/>
        </w:rPr>
        <w:t xml:space="preserve"> a partir da cana, por exemplo, utiliza</w:t>
      </w:r>
      <w:r>
        <w:rPr>
          <w:rFonts w:ascii="Times New Roman" w:hAnsi="Times New Roman" w:cs="Times New Roman"/>
          <w:sz w:val="24"/>
          <w:szCs w:val="24"/>
        </w:rPr>
        <w:t xml:space="preserve"> apenas</w:t>
      </w:r>
      <w:r w:rsidRPr="001E3C1A">
        <w:rPr>
          <w:rFonts w:ascii="Times New Roman" w:hAnsi="Times New Roman" w:cs="Times New Roman"/>
          <w:sz w:val="24"/>
          <w:szCs w:val="24"/>
        </w:rPr>
        <w:t xml:space="preserve"> cerca de um terço do potencial energético da biomassa</w:t>
      </w:r>
      <w:r>
        <w:rPr>
          <w:rFonts w:ascii="Times New Roman" w:hAnsi="Times New Roman" w:cs="Times New Roman"/>
          <w:sz w:val="24"/>
          <w:szCs w:val="24"/>
        </w:rPr>
        <w:t xml:space="preserve">. Em geral, considera-se que o bagaço e a palha da cana-de-açúcar, não utilizados para produção de etanol atualmente, contêm dois terços da energia da planta. </w:t>
      </w:r>
    </w:p>
    <w:p w:rsidR="00C6573C" w:rsidRDefault="00C6573C" w:rsidP="00C6573C">
      <w:pPr>
        <w:spacing w:line="360" w:lineRule="auto"/>
        <w:ind w:firstLine="708"/>
        <w:rPr>
          <w:rFonts w:ascii="Times New Roman" w:hAnsi="Times New Roman" w:cs="Times New Roman"/>
          <w:sz w:val="24"/>
          <w:szCs w:val="24"/>
        </w:rPr>
      </w:pPr>
      <w:r w:rsidRPr="00ED1ECA">
        <w:rPr>
          <w:rFonts w:ascii="Times New Roman" w:hAnsi="Times New Roman" w:cs="Times New Roman"/>
          <w:sz w:val="24"/>
          <w:szCs w:val="24"/>
        </w:rPr>
        <w:t>Os chamados bi</w:t>
      </w:r>
      <w:r>
        <w:rPr>
          <w:rFonts w:ascii="Times New Roman" w:hAnsi="Times New Roman" w:cs="Times New Roman"/>
          <w:sz w:val="24"/>
          <w:szCs w:val="24"/>
        </w:rPr>
        <w:t>ocombustíveis avançados</w:t>
      </w:r>
      <w:r w:rsidRPr="00ED1ECA">
        <w:rPr>
          <w:rFonts w:ascii="Times New Roman" w:hAnsi="Times New Roman" w:cs="Times New Roman"/>
          <w:sz w:val="24"/>
          <w:szCs w:val="24"/>
        </w:rPr>
        <w:t xml:space="preserve"> têm intenção de elevar o aproveitamento da matéria-prima lignocelulósica que é hoje descartada ou utilizada de forma ineficiente pela agroindústria. O aproveitamento integral do potencial energético da biomassa pode se dar por meio de processos bio ou termoquímicos. </w:t>
      </w:r>
    </w:p>
    <w:p w:rsidR="00C6573C" w:rsidRPr="00ED1ECA"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Bomtempo e Viegas (2010) ressaltam a existênc</w:t>
      </w:r>
      <w:r w:rsidR="0002395A">
        <w:rPr>
          <w:rFonts w:ascii="Times New Roman" w:hAnsi="Times New Roman" w:cs="Times New Roman"/>
          <w:sz w:val="24"/>
          <w:szCs w:val="24"/>
        </w:rPr>
        <w:t>ia de uma variedade de soluções</w:t>
      </w:r>
      <w:r>
        <w:rPr>
          <w:rFonts w:ascii="Times New Roman" w:hAnsi="Times New Roman" w:cs="Times New Roman"/>
          <w:sz w:val="24"/>
          <w:szCs w:val="24"/>
        </w:rPr>
        <w:t xml:space="preserve"> dentro das categorias mencionadas, sendo que estas também podem ser combinadas. Verifica-se entre os projetos de P&amp;D a aplicação de diferentes enzimas e microorganismos fermentadores e a busca por diferentes destinações ao gás de síntese resultante da gaseificação da biomassa.</w:t>
      </w:r>
    </w:p>
    <w:p w:rsidR="00C6573C" w:rsidRPr="00ED1ECA"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As </w:t>
      </w:r>
      <w:r w:rsidRPr="00ED1ECA">
        <w:rPr>
          <w:rFonts w:ascii="Times New Roman" w:hAnsi="Times New Roman" w:cs="Times New Roman"/>
          <w:sz w:val="24"/>
          <w:szCs w:val="24"/>
        </w:rPr>
        <w:t>diversas variações e alternativas sendo avaliadas em la</w:t>
      </w:r>
      <w:r>
        <w:rPr>
          <w:rFonts w:ascii="Times New Roman" w:hAnsi="Times New Roman" w:cs="Times New Roman"/>
          <w:sz w:val="24"/>
          <w:szCs w:val="24"/>
        </w:rPr>
        <w:t>boratórios e plantas-piloto</w:t>
      </w:r>
      <w:r w:rsidRPr="00ED1ECA">
        <w:rPr>
          <w:rFonts w:ascii="Times New Roman" w:hAnsi="Times New Roman" w:cs="Times New Roman"/>
          <w:sz w:val="24"/>
          <w:szCs w:val="24"/>
        </w:rPr>
        <w:t xml:space="preserve"> podem produzir combustíveis similares aos produzidos pelas duas rotas principais, ou outros tipos, como dimetil-éter, metanol ou gás natural sintético. Contudo, elas não representam a maior parcela dos investimentos em P&amp;D nesse estágio (AIE, 2008).</w:t>
      </w:r>
      <w:r>
        <w:rPr>
          <w:rFonts w:ascii="Times New Roman" w:hAnsi="Times New Roman" w:cs="Times New Roman"/>
          <w:sz w:val="24"/>
          <w:szCs w:val="24"/>
        </w:rPr>
        <w:t xml:space="preserve"> </w:t>
      </w:r>
    </w:p>
    <w:p w:rsidR="00C6573C" w:rsidRPr="00ED1ECA" w:rsidRDefault="00C6573C" w:rsidP="00C6573C">
      <w:pPr>
        <w:spacing w:line="360" w:lineRule="auto"/>
        <w:ind w:firstLine="708"/>
        <w:rPr>
          <w:rFonts w:ascii="Times New Roman" w:hAnsi="Times New Roman" w:cs="Times New Roman"/>
          <w:sz w:val="24"/>
          <w:szCs w:val="24"/>
        </w:rPr>
      </w:pPr>
      <w:r w:rsidRPr="00ED1ECA">
        <w:rPr>
          <w:rFonts w:ascii="Times New Roman" w:hAnsi="Times New Roman" w:cs="Times New Roman"/>
          <w:sz w:val="24"/>
          <w:szCs w:val="24"/>
        </w:rPr>
        <w:t xml:space="preserve">O quadro seguinte busca classificar as rotas de conversão de biomassa em diferentes tipos de energia simplificadamente. </w:t>
      </w:r>
      <w:r>
        <w:rPr>
          <w:rFonts w:ascii="Times New Roman" w:hAnsi="Times New Roman" w:cs="Times New Roman"/>
          <w:sz w:val="24"/>
          <w:szCs w:val="24"/>
        </w:rPr>
        <w:t>Nota-se, por exemplo, que ele restringe a aplicação do processo fermentativo à produção de etanol</w:t>
      </w:r>
      <w:r>
        <w:rPr>
          <w:rStyle w:val="Refdenotaderodap"/>
          <w:rFonts w:ascii="Times New Roman" w:hAnsi="Times New Roman" w:cs="Times New Roman"/>
          <w:sz w:val="24"/>
          <w:szCs w:val="24"/>
        </w:rPr>
        <w:footnoteReference w:id="18"/>
      </w:r>
      <w:r>
        <w:rPr>
          <w:rFonts w:ascii="Times New Roman" w:hAnsi="Times New Roman" w:cs="Times New Roman"/>
          <w:sz w:val="24"/>
          <w:szCs w:val="24"/>
        </w:rPr>
        <w:t xml:space="preserve">. </w:t>
      </w:r>
      <w:r w:rsidRPr="00ED1ECA">
        <w:rPr>
          <w:rFonts w:ascii="Times New Roman" w:hAnsi="Times New Roman" w:cs="Times New Roman"/>
          <w:sz w:val="24"/>
          <w:szCs w:val="24"/>
        </w:rPr>
        <w:t>Mesmo assim, já é possível notar o grande número de possibilidades existentes para exploração desse conteúdo energético que é subutilizado atualmente.</w:t>
      </w:r>
    </w:p>
    <w:p w:rsidR="00C6573C" w:rsidRDefault="00C6573C" w:rsidP="00C6573C">
      <w:pPr>
        <w:spacing w:line="360" w:lineRule="auto"/>
        <w:jc w:val="center"/>
        <w:rPr>
          <w:rFonts w:ascii="Times New Roman" w:hAnsi="Times New Roman" w:cs="Times New Roman"/>
          <w:b/>
          <w:sz w:val="24"/>
          <w:szCs w:val="24"/>
        </w:rPr>
      </w:pPr>
    </w:p>
    <w:p w:rsidR="00C6573C" w:rsidRPr="005A042F" w:rsidRDefault="00C6573C" w:rsidP="00C6573C">
      <w:pPr>
        <w:jc w:val="center"/>
        <w:rPr>
          <w:rFonts w:ascii="Times New Roman" w:hAnsi="Times New Roman" w:cs="Times New Roman"/>
          <w:b/>
          <w:sz w:val="24"/>
          <w:szCs w:val="24"/>
        </w:rPr>
      </w:pPr>
      <w:bookmarkStart w:id="60" w:name="_Toc330505772"/>
      <w:bookmarkStart w:id="61" w:name="_Toc330506352"/>
      <w:r w:rsidRPr="005A042F">
        <w:rPr>
          <w:rFonts w:ascii="Times New Roman" w:hAnsi="Times New Roman" w:cs="Times New Roman"/>
          <w:b/>
          <w:sz w:val="24"/>
          <w:szCs w:val="24"/>
        </w:rPr>
        <w:t xml:space="preserve">Figura </w:t>
      </w:r>
      <w:r>
        <w:rPr>
          <w:rFonts w:ascii="Times New Roman" w:hAnsi="Times New Roman" w:cs="Times New Roman"/>
          <w:b/>
          <w:sz w:val="24"/>
          <w:szCs w:val="24"/>
        </w:rPr>
        <w:t>3</w:t>
      </w:r>
      <w:r w:rsidRPr="005A042F">
        <w:rPr>
          <w:rFonts w:ascii="Times New Roman" w:hAnsi="Times New Roman" w:cs="Times New Roman"/>
          <w:b/>
          <w:sz w:val="24"/>
          <w:szCs w:val="24"/>
        </w:rPr>
        <w:t xml:space="preserve"> – Rotas tecnológicas para produção de bioenergia</w:t>
      </w:r>
      <w:bookmarkEnd w:id="60"/>
      <w:bookmarkEnd w:id="61"/>
    </w:p>
    <w:p w:rsidR="00C6573C" w:rsidRDefault="00C6573C" w:rsidP="00C6573C">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5010150" cy="2913550"/>
            <wp:effectExtent l="19050" t="0" r="0" b="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013639" cy="2915579"/>
                    </a:xfrm>
                    <a:prstGeom prst="rect">
                      <a:avLst/>
                    </a:prstGeom>
                    <a:noFill/>
                    <a:ln w="9525">
                      <a:noFill/>
                      <a:miter lim="800000"/>
                      <a:headEnd/>
                      <a:tailEnd/>
                    </a:ln>
                  </pic:spPr>
                </pic:pic>
              </a:graphicData>
            </a:graphic>
          </wp:inline>
        </w:drawing>
      </w:r>
    </w:p>
    <w:p w:rsidR="00C6573C" w:rsidRPr="00497A36" w:rsidRDefault="00C6573C" w:rsidP="00C6573C">
      <w:pPr>
        <w:spacing w:line="360" w:lineRule="auto"/>
        <w:ind w:firstLine="708"/>
        <w:outlineLvl w:val="0"/>
        <w:rPr>
          <w:rFonts w:ascii="Times New Roman" w:hAnsi="Times New Roman" w:cs="Times New Roman"/>
          <w:sz w:val="20"/>
          <w:szCs w:val="20"/>
        </w:rPr>
      </w:pPr>
      <w:r>
        <w:rPr>
          <w:rFonts w:ascii="Times New Roman" w:hAnsi="Times New Roman" w:cs="Times New Roman"/>
          <w:sz w:val="20"/>
          <w:szCs w:val="20"/>
        </w:rPr>
        <w:t xml:space="preserve">   </w:t>
      </w:r>
      <w:bookmarkStart w:id="62" w:name="_Toc330505773"/>
      <w:bookmarkStart w:id="63" w:name="_Toc330506353"/>
      <w:bookmarkStart w:id="64" w:name="_Toc331848319"/>
      <w:bookmarkStart w:id="65" w:name="_Toc331848527"/>
      <w:bookmarkStart w:id="66" w:name="_Toc332018601"/>
      <w:bookmarkStart w:id="67" w:name="_Toc333911352"/>
      <w:r w:rsidRPr="005A042F">
        <w:rPr>
          <w:rFonts w:ascii="Times New Roman" w:hAnsi="Times New Roman" w:cs="Times New Roman"/>
          <w:sz w:val="20"/>
          <w:szCs w:val="20"/>
        </w:rPr>
        <w:t xml:space="preserve">Fonte: </w:t>
      </w:r>
      <w:r>
        <w:rPr>
          <w:rFonts w:ascii="Times New Roman" w:hAnsi="Times New Roman" w:cs="Times New Roman"/>
          <w:sz w:val="20"/>
          <w:szCs w:val="20"/>
        </w:rPr>
        <w:t xml:space="preserve">CGEE; </w:t>
      </w:r>
      <w:r w:rsidRPr="005A042F">
        <w:rPr>
          <w:rFonts w:ascii="Times New Roman" w:hAnsi="Times New Roman" w:cs="Times New Roman"/>
          <w:sz w:val="20"/>
          <w:szCs w:val="20"/>
        </w:rPr>
        <w:t>BNDES (2008)</w:t>
      </w:r>
      <w:bookmarkEnd w:id="62"/>
      <w:bookmarkEnd w:id="63"/>
      <w:bookmarkEnd w:id="64"/>
      <w:bookmarkEnd w:id="65"/>
      <w:bookmarkEnd w:id="66"/>
      <w:bookmarkEnd w:id="67"/>
    </w:p>
    <w:p w:rsidR="00C6573C" w:rsidRDefault="00C6573C" w:rsidP="00C6573C">
      <w:pPr>
        <w:spacing w:line="360" w:lineRule="auto"/>
        <w:rPr>
          <w:rFonts w:ascii="Times New Roman" w:hAnsi="Times New Roman" w:cs="Times New Roman"/>
          <w:b/>
          <w:sz w:val="24"/>
          <w:szCs w:val="24"/>
        </w:rPr>
      </w:pPr>
    </w:p>
    <w:p w:rsidR="00C6573C" w:rsidRPr="00037346" w:rsidRDefault="00740E2A" w:rsidP="00740E2A">
      <w:pPr>
        <w:pStyle w:val="Ttulo3"/>
      </w:pPr>
      <w:bookmarkStart w:id="68" w:name="_Toc330506354"/>
      <w:bookmarkStart w:id="69" w:name="_Toc333911353"/>
      <w:r>
        <w:t>2.4</w:t>
      </w:r>
      <w:r w:rsidR="00C6573C" w:rsidRPr="00037346">
        <w:t>.1 Processos bioquímicos</w:t>
      </w:r>
      <w:bookmarkEnd w:id="68"/>
      <w:bookmarkEnd w:id="69"/>
    </w:p>
    <w:p w:rsidR="00C6573C" w:rsidRDefault="00C6573C" w:rsidP="00C6573C">
      <w:pPr>
        <w:spacing w:line="360" w:lineRule="auto"/>
        <w:ind w:firstLine="708"/>
        <w:rPr>
          <w:rFonts w:ascii="Times New Roman" w:hAnsi="Times New Roman" w:cs="Times New Roman"/>
          <w:sz w:val="24"/>
          <w:szCs w:val="24"/>
        </w:rPr>
      </w:pP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Entre os processos bioquímicos se encontram a digestão anaeróbica, a fermentação/destilação e a hidrólise, cabendo ressaltar que esta última não requer</w:t>
      </w:r>
      <w:r w:rsidRPr="001E3C1A">
        <w:rPr>
          <w:rFonts w:ascii="Times New Roman" w:hAnsi="Times New Roman" w:cs="Times New Roman"/>
          <w:sz w:val="24"/>
          <w:szCs w:val="24"/>
        </w:rPr>
        <w:t xml:space="preserve"> necessariamente a utilização de enzim</w:t>
      </w:r>
      <w:r>
        <w:rPr>
          <w:rFonts w:ascii="Times New Roman" w:hAnsi="Times New Roman" w:cs="Times New Roman"/>
          <w:sz w:val="24"/>
          <w:szCs w:val="24"/>
        </w:rPr>
        <w:t>as. Há também a possibilidade de realizar a</w:t>
      </w:r>
      <w:r w:rsidRPr="001E3C1A">
        <w:rPr>
          <w:rFonts w:ascii="Times New Roman" w:hAnsi="Times New Roman" w:cs="Times New Roman"/>
          <w:sz w:val="24"/>
          <w:szCs w:val="24"/>
        </w:rPr>
        <w:t xml:space="preserve"> hidrólise química</w:t>
      </w:r>
      <w:r>
        <w:rPr>
          <w:rFonts w:ascii="Times New Roman" w:hAnsi="Times New Roman" w:cs="Times New Roman"/>
          <w:sz w:val="24"/>
          <w:szCs w:val="24"/>
        </w:rPr>
        <w:t xml:space="preserve"> (com utilização de ácidos)</w:t>
      </w:r>
      <w:r w:rsidRPr="001E3C1A">
        <w:rPr>
          <w:rFonts w:ascii="Times New Roman" w:hAnsi="Times New Roman" w:cs="Times New Roman"/>
          <w:sz w:val="24"/>
          <w:szCs w:val="24"/>
        </w:rPr>
        <w:t>, porém esta gera hidrolisados com alta toxicidade que dificultam a fermentação alcoólica</w:t>
      </w:r>
      <w:r>
        <w:rPr>
          <w:rFonts w:ascii="Times New Roman" w:hAnsi="Times New Roman" w:cs="Times New Roman"/>
          <w:sz w:val="24"/>
          <w:szCs w:val="24"/>
        </w:rPr>
        <w:t>, além de apresentar problemas de corrosão, aumentando os custos de manutenção, daí o maior interesse na hidrólise enzimática (DA SILVA, 2010)</w:t>
      </w:r>
      <w:r w:rsidRPr="001E3C1A">
        <w:rPr>
          <w:rFonts w:ascii="Times New Roman" w:hAnsi="Times New Roman" w:cs="Times New Roman"/>
          <w:sz w:val="24"/>
          <w:szCs w:val="24"/>
        </w:rPr>
        <w:t xml:space="preserve">. </w:t>
      </w: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As rotas que utilizam enzimas e outros microorganismos para converter a celulose e a hemicelulose em açúcares podem estar associadas à produção de etanol, mas também são estudadas para a produção de combustíveis de maior conteúdo energético, como butanol, diesel e querosene de aviação. </w:t>
      </w:r>
    </w:p>
    <w:p w:rsidR="00C6573C" w:rsidRPr="00FC4B4A" w:rsidRDefault="00C6573C" w:rsidP="00C6573C">
      <w:pPr>
        <w:spacing w:line="360" w:lineRule="auto"/>
        <w:ind w:firstLine="708"/>
        <w:rPr>
          <w:rFonts w:ascii="Times New Roman" w:hAnsi="Times New Roman" w:cs="Times New Roman"/>
          <w:sz w:val="24"/>
          <w:szCs w:val="24"/>
        </w:rPr>
      </w:pPr>
      <w:r w:rsidRPr="001E3C1A">
        <w:rPr>
          <w:rFonts w:ascii="Times New Roman" w:hAnsi="Times New Roman" w:cs="Times New Roman"/>
          <w:sz w:val="24"/>
          <w:szCs w:val="24"/>
        </w:rPr>
        <w:t>O elevado custo das enzimas</w:t>
      </w:r>
      <w:r w:rsidRPr="00037749">
        <w:rPr>
          <w:rFonts w:ascii="Times New Roman" w:hAnsi="Times New Roman" w:cs="Times New Roman"/>
          <w:sz w:val="24"/>
          <w:szCs w:val="24"/>
        </w:rPr>
        <w:t xml:space="preserve"> </w:t>
      </w:r>
      <w:r w:rsidRPr="001E3C1A">
        <w:rPr>
          <w:rFonts w:ascii="Times New Roman" w:hAnsi="Times New Roman" w:cs="Times New Roman"/>
          <w:sz w:val="24"/>
          <w:szCs w:val="24"/>
        </w:rPr>
        <w:t xml:space="preserve">atualmente tem sido o principal gargalo para a utilização da hidrólise enzimática no </w:t>
      </w:r>
      <w:r w:rsidRPr="00FC4B4A">
        <w:rPr>
          <w:rFonts w:ascii="Times New Roman" w:hAnsi="Times New Roman" w:cs="Times New Roman"/>
          <w:sz w:val="24"/>
          <w:szCs w:val="24"/>
        </w:rPr>
        <w:t>desenvolviment</w:t>
      </w:r>
      <w:r>
        <w:rPr>
          <w:rFonts w:ascii="Times New Roman" w:hAnsi="Times New Roman" w:cs="Times New Roman"/>
          <w:sz w:val="24"/>
          <w:szCs w:val="24"/>
        </w:rPr>
        <w:t>o do etanol celulósico, mas é</w:t>
      </w:r>
      <w:r w:rsidRPr="00FC4B4A">
        <w:rPr>
          <w:rFonts w:ascii="Times New Roman" w:hAnsi="Times New Roman" w:cs="Times New Roman"/>
          <w:sz w:val="24"/>
          <w:szCs w:val="24"/>
        </w:rPr>
        <w:t xml:space="preserve"> importante notar que, alé</w:t>
      </w:r>
      <w:r>
        <w:rPr>
          <w:rFonts w:ascii="Times New Roman" w:hAnsi="Times New Roman" w:cs="Times New Roman"/>
          <w:sz w:val="24"/>
          <w:szCs w:val="24"/>
        </w:rPr>
        <w:t>m da produção de enzimas</w:t>
      </w:r>
      <w:r w:rsidRPr="00FC4B4A">
        <w:rPr>
          <w:rFonts w:ascii="Times New Roman" w:hAnsi="Times New Roman" w:cs="Times New Roman"/>
          <w:sz w:val="24"/>
          <w:szCs w:val="24"/>
        </w:rPr>
        <w:t>, é necessário desenvolver novos conhecimentos sobre os processos de pré-t</w:t>
      </w:r>
      <w:r>
        <w:rPr>
          <w:rFonts w:ascii="Times New Roman" w:hAnsi="Times New Roman" w:cs="Times New Roman"/>
          <w:sz w:val="24"/>
          <w:szCs w:val="24"/>
        </w:rPr>
        <w:t xml:space="preserve">ratamento, a fermentação e </w:t>
      </w:r>
      <w:r w:rsidRPr="00FC4B4A">
        <w:rPr>
          <w:rFonts w:ascii="Times New Roman" w:hAnsi="Times New Roman" w:cs="Times New Roman"/>
          <w:sz w:val="24"/>
          <w:szCs w:val="24"/>
        </w:rPr>
        <w:t xml:space="preserve">destilação do produto final. </w:t>
      </w:r>
    </w:p>
    <w:p w:rsidR="00C6573C" w:rsidRDefault="00C6573C" w:rsidP="00C6573C">
      <w:pPr>
        <w:spacing w:line="360" w:lineRule="auto"/>
        <w:ind w:firstLine="708"/>
        <w:rPr>
          <w:rFonts w:ascii="Times New Roman" w:hAnsi="Times New Roman" w:cs="Times New Roman"/>
          <w:sz w:val="24"/>
          <w:szCs w:val="24"/>
        </w:rPr>
      </w:pPr>
      <w:r w:rsidRPr="001E3C1A">
        <w:rPr>
          <w:rFonts w:ascii="Times New Roman" w:hAnsi="Times New Roman" w:cs="Times New Roman"/>
          <w:sz w:val="24"/>
          <w:szCs w:val="24"/>
        </w:rPr>
        <w:t>A conversão enzimática requer que as enzi</w:t>
      </w:r>
      <w:r>
        <w:rPr>
          <w:rFonts w:ascii="Times New Roman" w:hAnsi="Times New Roman" w:cs="Times New Roman"/>
          <w:sz w:val="24"/>
          <w:szCs w:val="24"/>
        </w:rPr>
        <w:t>mas hidrolíticas</w:t>
      </w:r>
      <w:r w:rsidRPr="001E3C1A">
        <w:rPr>
          <w:rFonts w:ascii="Times New Roman" w:hAnsi="Times New Roman" w:cs="Times New Roman"/>
          <w:sz w:val="24"/>
          <w:szCs w:val="24"/>
        </w:rPr>
        <w:t xml:space="preserve"> tenham acesso livre à celulose e à hemicelulose para produzirem açúcares fermentáveis.</w:t>
      </w:r>
      <w:r>
        <w:rPr>
          <w:rFonts w:ascii="Times New Roman" w:hAnsi="Times New Roman" w:cs="Times New Roman"/>
          <w:sz w:val="24"/>
          <w:szCs w:val="24"/>
        </w:rPr>
        <w:t xml:space="preserve"> Para que o material lignocelulósico possa ser utilizado na produção de biocombustíveis e outros produtos, é preciso separar seus componentes. </w:t>
      </w:r>
      <w:r w:rsidRPr="00FC4B4A">
        <w:rPr>
          <w:rFonts w:ascii="Times New Roman" w:hAnsi="Times New Roman" w:cs="Times New Roman"/>
          <w:sz w:val="24"/>
          <w:szCs w:val="24"/>
        </w:rPr>
        <w:t xml:space="preserve">A etapa </w:t>
      </w:r>
      <w:r w:rsidRPr="001E3C1A">
        <w:rPr>
          <w:rFonts w:ascii="Times New Roman" w:hAnsi="Times New Roman" w:cs="Times New Roman"/>
          <w:sz w:val="24"/>
          <w:szCs w:val="24"/>
        </w:rPr>
        <w:t>de pré-tratamento é responsável por modificar as propriedades físicas e químicas da parede celular da biomassa, tornando mais eficiente o processo de conversão</w:t>
      </w:r>
      <w:r>
        <w:rPr>
          <w:rFonts w:ascii="Times New Roman" w:hAnsi="Times New Roman" w:cs="Times New Roman"/>
          <w:sz w:val="24"/>
          <w:szCs w:val="24"/>
        </w:rPr>
        <w:t xml:space="preserve">, e por isso tem representado </w:t>
      </w:r>
      <w:r w:rsidR="00D65634">
        <w:rPr>
          <w:rFonts w:ascii="Times New Roman" w:hAnsi="Times New Roman" w:cs="Times New Roman"/>
          <w:sz w:val="24"/>
          <w:szCs w:val="24"/>
        </w:rPr>
        <w:t>também um grande</w:t>
      </w:r>
      <w:r>
        <w:rPr>
          <w:rFonts w:ascii="Times New Roman" w:hAnsi="Times New Roman" w:cs="Times New Roman"/>
          <w:sz w:val="24"/>
          <w:szCs w:val="24"/>
        </w:rPr>
        <w:t xml:space="preserve"> desafio para o desenvolvimento de biocombustíveis celulósicos (EVANS, 2012).</w:t>
      </w:r>
      <w:r w:rsidRPr="001E3C1A">
        <w:rPr>
          <w:rFonts w:ascii="Times New Roman" w:hAnsi="Times New Roman" w:cs="Times New Roman"/>
          <w:sz w:val="24"/>
          <w:szCs w:val="24"/>
        </w:rPr>
        <w:t xml:space="preserve"> </w:t>
      </w:r>
    </w:p>
    <w:p w:rsidR="00C6573C" w:rsidRDefault="00C6573C" w:rsidP="00C6573C">
      <w:pPr>
        <w:spacing w:line="360" w:lineRule="auto"/>
        <w:ind w:firstLine="708"/>
        <w:rPr>
          <w:rFonts w:ascii="Times New Roman" w:hAnsi="Times New Roman" w:cs="Times New Roman"/>
          <w:sz w:val="24"/>
          <w:szCs w:val="24"/>
        </w:rPr>
      </w:pPr>
      <w:r w:rsidRPr="001E3C1A">
        <w:rPr>
          <w:rFonts w:ascii="Times New Roman" w:hAnsi="Times New Roman" w:cs="Times New Roman"/>
          <w:sz w:val="24"/>
          <w:szCs w:val="24"/>
        </w:rPr>
        <w:t>As técnicas de pré-tratamento podem envolver métodos físicos, químicos, biológicos, ou uma combinação destes, mostrando-se mais ou menos adequados aos tipos de biomassa que se pretende utilizar.</w:t>
      </w:r>
      <w:r>
        <w:rPr>
          <w:rFonts w:ascii="Times New Roman" w:hAnsi="Times New Roman" w:cs="Times New Roman"/>
          <w:sz w:val="24"/>
          <w:szCs w:val="24"/>
        </w:rPr>
        <w:t xml:space="preserve"> A indústria de celulose, por exemplo, utiliza um sistema de decantação que gera resíduos que não necessitam ser submetidos a nenhum processo de pré-tratamento, dado que, em seu processo de origem já ocorre a deslignificação que remove a maior parte da lignina e da celulose (CONCEIÇÃO SILVA, 2010). </w:t>
      </w: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O</w:t>
      </w:r>
      <w:r w:rsidRPr="001E3C1A">
        <w:rPr>
          <w:rFonts w:ascii="Times New Roman" w:hAnsi="Times New Roman" w:cs="Times New Roman"/>
          <w:sz w:val="24"/>
          <w:szCs w:val="24"/>
        </w:rPr>
        <w:t>u</w:t>
      </w:r>
      <w:r>
        <w:rPr>
          <w:rFonts w:ascii="Times New Roman" w:hAnsi="Times New Roman" w:cs="Times New Roman"/>
          <w:sz w:val="24"/>
          <w:szCs w:val="24"/>
        </w:rPr>
        <w:t>tro importante obstáculo</w:t>
      </w:r>
      <w:r w:rsidRPr="001E3C1A">
        <w:rPr>
          <w:rFonts w:ascii="Times New Roman" w:hAnsi="Times New Roman" w:cs="Times New Roman"/>
          <w:sz w:val="24"/>
          <w:szCs w:val="24"/>
        </w:rPr>
        <w:t xml:space="preserve"> a ser enfrentado </w:t>
      </w:r>
      <w:r>
        <w:rPr>
          <w:rFonts w:ascii="Times New Roman" w:hAnsi="Times New Roman" w:cs="Times New Roman"/>
          <w:sz w:val="24"/>
          <w:szCs w:val="24"/>
        </w:rPr>
        <w:t>pela aplicação da hidrólise enzimática</w:t>
      </w:r>
      <w:r w:rsidRPr="001E3C1A">
        <w:rPr>
          <w:rFonts w:ascii="Times New Roman" w:hAnsi="Times New Roman" w:cs="Times New Roman"/>
          <w:sz w:val="24"/>
          <w:szCs w:val="24"/>
        </w:rPr>
        <w:t xml:space="preserve"> tem a ver com os compostos inibidores da atividade das enzimas</w:t>
      </w:r>
      <w:r>
        <w:rPr>
          <w:rFonts w:ascii="Times New Roman" w:hAnsi="Times New Roman" w:cs="Times New Roman"/>
          <w:sz w:val="24"/>
          <w:szCs w:val="24"/>
        </w:rPr>
        <w:t xml:space="preserve"> (aldeídos furânicos, ácido fórmico e ácido acético, por exemplo)</w:t>
      </w:r>
      <w:r w:rsidRPr="001E3C1A">
        <w:rPr>
          <w:rFonts w:ascii="Times New Roman" w:hAnsi="Times New Roman" w:cs="Times New Roman"/>
          <w:sz w:val="24"/>
          <w:szCs w:val="24"/>
        </w:rPr>
        <w:t xml:space="preserve"> à medida que o</w:t>
      </w:r>
      <w:r>
        <w:rPr>
          <w:rFonts w:ascii="Times New Roman" w:hAnsi="Times New Roman" w:cs="Times New Roman"/>
          <w:sz w:val="24"/>
          <w:szCs w:val="24"/>
        </w:rPr>
        <w:t xml:space="preserve"> processo de fermentação ocorre, tornando essencial o aperfeiçoamento das técnicas de pré-tratamento que minimizem ou mesmo evitem por completo a formação destes elementos. </w:t>
      </w:r>
    </w:p>
    <w:p w:rsidR="00C6573C" w:rsidRPr="007446C3" w:rsidRDefault="00C6573C" w:rsidP="00C6573C">
      <w:pPr>
        <w:spacing w:line="360" w:lineRule="auto"/>
        <w:ind w:firstLine="708"/>
        <w:rPr>
          <w:rFonts w:ascii="Times New Roman" w:hAnsi="Times New Roman" w:cs="Times New Roman"/>
          <w:sz w:val="24"/>
          <w:szCs w:val="24"/>
        </w:rPr>
      </w:pPr>
      <w:r w:rsidRPr="001E3C1A">
        <w:rPr>
          <w:rFonts w:ascii="Times New Roman" w:hAnsi="Times New Roman" w:cs="Times New Roman"/>
          <w:sz w:val="24"/>
          <w:szCs w:val="24"/>
        </w:rPr>
        <w:t xml:space="preserve">Apesar de a levedura </w:t>
      </w:r>
      <w:r w:rsidRPr="00DB4E12">
        <w:rPr>
          <w:rFonts w:ascii="Times New Roman" w:hAnsi="Times New Roman" w:cs="Times New Roman"/>
          <w:i/>
          <w:sz w:val="24"/>
          <w:szCs w:val="24"/>
        </w:rPr>
        <w:t>Saccharomyces cerevisiae</w:t>
      </w:r>
      <w:r>
        <w:rPr>
          <w:rFonts w:ascii="Times New Roman" w:hAnsi="Times New Roman" w:cs="Times New Roman"/>
          <w:i/>
          <w:sz w:val="24"/>
          <w:szCs w:val="24"/>
        </w:rPr>
        <w:t xml:space="preserve"> </w:t>
      </w:r>
      <w:r w:rsidRPr="001E3C1A">
        <w:rPr>
          <w:rFonts w:ascii="Times New Roman" w:hAnsi="Times New Roman" w:cs="Times New Roman"/>
          <w:sz w:val="24"/>
          <w:szCs w:val="24"/>
        </w:rPr>
        <w:t>ser amplamente utilizada pela indústria no processo de fermentação e ter elevada tolerância ao etanol, o produto que se busca obter, ela não é capaz de utilizar açúcares de cinco carbonos (pentoses), componentes dos hidrolisados da biomassa, o que compromete a viabilidade econômica da produção de etanol via hidrólise (</w:t>
      </w:r>
      <w:r>
        <w:rPr>
          <w:rFonts w:ascii="Times New Roman" w:hAnsi="Times New Roman" w:cs="Times New Roman"/>
          <w:sz w:val="24"/>
          <w:szCs w:val="24"/>
        </w:rPr>
        <w:t>DA SILVA, 2010</w:t>
      </w:r>
      <w:r w:rsidRPr="001E3C1A">
        <w:rPr>
          <w:rFonts w:ascii="Times New Roman" w:hAnsi="Times New Roman" w:cs="Times New Roman"/>
          <w:sz w:val="24"/>
          <w:szCs w:val="24"/>
        </w:rPr>
        <w:t>). Nesse sentido, outros microrganismos, inclusive geneticamente modificados, têm sido considerados como substitutos para atingir um maior rendimento.</w:t>
      </w:r>
      <w:r w:rsidRPr="003458A2">
        <w:rPr>
          <w:rFonts w:ascii="Times New Roman" w:hAnsi="Times New Roman" w:cs="Times New Roman"/>
        </w:rPr>
        <w:t xml:space="preserve"> </w:t>
      </w:r>
    </w:p>
    <w:p w:rsidR="00C6573C" w:rsidRPr="007446C3"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Apesar de todas essas barreiras, a hidrólise enzimática é a rota que </w:t>
      </w:r>
      <w:r w:rsidRPr="001F0640">
        <w:rPr>
          <w:rFonts w:ascii="Times New Roman" w:hAnsi="Times New Roman" w:cs="Times New Roman"/>
          <w:sz w:val="24"/>
          <w:szCs w:val="24"/>
        </w:rPr>
        <w:t>atualmente a</w:t>
      </w:r>
      <w:r>
        <w:rPr>
          <w:rFonts w:ascii="Times New Roman" w:hAnsi="Times New Roman" w:cs="Times New Roman"/>
          <w:sz w:val="24"/>
          <w:szCs w:val="24"/>
        </w:rPr>
        <w:t>presenta</w:t>
      </w:r>
      <w:r w:rsidRPr="001F0640">
        <w:rPr>
          <w:rFonts w:ascii="Times New Roman" w:hAnsi="Times New Roman" w:cs="Times New Roman"/>
          <w:sz w:val="24"/>
          <w:szCs w:val="24"/>
        </w:rPr>
        <w:t xml:space="preserve"> tecnologia mais desenv</w:t>
      </w:r>
      <w:r>
        <w:rPr>
          <w:rFonts w:ascii="Times New Roman" w:hAnsi="Times New Roman" w:cs="Times New Roman"/>
          <w:sz w:val="24"/>
          <w:szCs w:val="24"/>
        </w:rPr>
        <w:t>olvida na produção de açúcares celulósicos e devido a seu potencial de evolução e redução de custos tem sido vista por muitos pesquisadores e cientistas como processo-chave para a produção competitiva de etanol no longo prazo (CGEE; BNDES, 2008).</w:t>
      </w:r>
      <w:r w:rsidRPr="002431AA">
        <w:rPr>
          <w:rFonts w:ascii="Times New Roman" w:hAnsi="Times New Roman" w:cs="Times New Roman"/>
          <w:sz w:val="24"/>
          <w:szCs w:val="24"/>
        </w:rPr>
        <w:t xml:space="preserve"> </w:t>
      </w:r>
      <w:r>
        <w:rPr>
          <w:rFonts w:ascii="Times New Roman" w:hAnsi="Times New Roman" w:cs="Times New Roman"/>
          <w:sz w:val="24"/>
          <w:szCs w:val="24"/>
        </w:rPr>
        <w:t>Com significativo apoio financeiro dos governos, a hidrólise enzimática já conseguiu atingir o estágio de demonstração e alguns projetos dão os primeiros passos em escala comercial atualmente.</w:t>
      </w:r>
    </w:p>
    <w:p w:rsidR="00C6573C" w:rsidRDefault="00C6573C" w:rsidP="00C6573C">
      <w:pPr>
        <w:spacing w:line="360" w:lineRule="auto"/>
        <w:rPr>
          <w:rFonts w:ascii="Times New Roman" w:hAnsi="Times New Roman" w:cs="Times New Roman"/>
        </w:rPr>
      </w:pPr>
    </w:p>
    <w:p w:rsidR="00C6573C" w:rsidRPr="00740E2A" w:rsidRDefault="00740E2A" w:rsidP="00740E2A">
      <w:pPr>
        <w:pStyle w:val="Ttulo3"/>
        <w:rPr>
          <w:szCs w:val="24"/>
        </w:rPr>
      </w:pPr>
      <w:bookmarkStart w:id="70" w:name="_Toc330506355"/>
      <w:bookmarkStart w:id="71" w:name="_Toc333911354"/>
      <w:r>
        <w:rPr>
          <w:szCs w:val="24"/>
        </w:rPr>
        <w:t>2.4</w:t>
      </w:r>
      <w:r w:rsidR="00C6573C" w:rsidRPr="00740E2A">
        <w:rPr>
          <w:szCs w:val="24"/>
        </w:rPr>
        <w:t>.2 Processos termoquímicos</w:t>
      </w:r>
      <w:bookmarkEnd w:id="70"/>
      <w:bookmarkEnd w:id="71"/>
    </w:p>
    <w:p w:rsidR="00C6573C" w:rsidRDefault="00C6573C" w:rsidP="00C6573C">
      <w:pPr>
        <w:spacing w:line="360" w:lineRule="auto"/>
        <w:rPr>
          <w:rFonts w:ascii="Times New Roman" w:hAnsi="Times New Roman" w:cs="Times New Roman"/>
        </w:rPr>
      </w:pP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A conversão termoquímica consiste na conversão da energia química da biomassa em calor, podendo ocorrer por incineração, gaseificação ou pirólise.</w:t>
      </w:r>
      <w:r w:rsidRPr="00ED1ECA">
        <w:rPr>
          <w:rFonts w:ascii="Times New Roman" w:hAnsi="Times New Roman" w:cs="Times New Roman"/>
          <w:sz w:val="24"/>
          <w:szCs w:val="24"/>
        </w:rPr>
        <w:t xml:space="preserve"> </w:t>
      </w:r>
      <w:r>
        <w:rPr>
          <w:rFonts w:ascii="Times New Roman" w:hAnsi="Times New Roman" w:cs="Times New Roman"/>
          <w:sz w:val="24"/>
          <w:szCs w:val="24"/>
        </w:rPr>
        <w:t>A</w:t>
      </w:r>
      <w:r w:rsidRPr="00ED1ECA">
        <w:rPr>
          <w:rFonts w:ascii="Times New Roman" w:hAnsi="Times New Roman" w:cs="Times New Roman"/>
          <w:sz w:val="24"/>
          <w:szCs w:val="24"/>
        </w:rPr>
        <w:t xml:space="preserve"> </w:t>
      </w:r>
      <w:r>
        <w:rPr>
          <w:rFonts w:ascii="Times New Roman" w:hAnsi="Times New Roman" w:cs="Times New Roman"/>
          <w:sz w:val="24"/>
          <w:szCs w:val="24"/>
        </w:rPr>
        <w:t>primeira</w:t>
      </w:r>
      <w:r w:rsidRPr="00ED1ECA">
        <w:rPr>
          <w:rFonts w:ascii="Times New Roman" w:hAnsi="Times New Roman" w:cs="Times New Roman"/>
          <w:sz w:val="24"/>
          <w:szCs w:val="24"/>
        </w:rPr>
        <w:t xml:space="preserve"> res</w:t>
      </w:r>
      <w:r>
        <w:rPr>
          <w:rFonts w:ascii="Times New Roman" w:hAnsi="Times New Roman" w:cs="Times New Roman"/>
          <w:sz w:val="24"/>
          <w:szCs w:val="24"/>
        </w:rPr>
        <w:t>ulta em eletricidade, enquanto a segunda e a terceira</w:t>
      </w:r>
      <w:r w:rsidRPr="00ED1ECA">
        <w:rPr>
          <w:rFonts w:ascii="Times New Roman" w:hAnsi="Times New Roman" w:cs="Times New Roman"/>
          <w:sz w:val="24"/>
          <w:szCs w:val="24"/>
        </w:rPr>
        <w:t xml:space="preserve"> resultam em </w:t>
      </w:r>
      <w:r>
        <w:rPr>
          <w:rFonts w:ascii="Times New Roman" w:hAnsi="Times New Roman" w:cs="Times New Roman"/>
          <w:sz w:val="24"/>
          <w:szCs w:val="24"/>
        </w:rPr>
        <w:t xml:space="preserve">substitutos </w:t>
      </w:r>
      <w:r w:rsidRPr="00ED1ECA">
        <w:rPr>
          <w:rFonts w:ascii="Times New Roman" w:hAnsi="Times New Roman" w:cs="Times New Roman"/>
          <w:sz w:val="24"/>
          <w:szCs w:val="24"/>
        </w:rPr>
        <w:t>d</w:t>
      </w:r>
      <w:r>
        <w:rPr>
          <w:rFonts w:ascii="Times New Roman" w:hAnsi="Times New Roman" w:cs="Times New Roman"/>
          <w:sz w:val="24"/>
          <w:szCs w:val="24"/>
        </w:rPr>
        <w:t xml:space="preserve">o gás natural (gás de síntese) e </w:t>
      </w:r>
      <w:r w:rsidRPr="00ED1ECA">
        <w:rPr>
          <w:rFonts w:ascii="Times New Roman" w:hAnsi="Times New Roman" w:cs="Times New Roman"/>
          <w:sz w:val="24"/>
          <w:szCs w:val="24"/>
        </w:rPr>
        <w:t xml:space="preserve">do petróleo bruto </w:t>
      </w:r>
      <w:r>
        <w:rPr>
          <w:rFonts w:ascii="Times New Roman" w:hAnsi="Times New Roman" w:cs="Times New Roman"/>
          <w:sz w:val="24"/>
          <w:szCs w:val="24"/>
        </w:rPr>
        <w:t xml:space="preserve">(bio-óleo), respectivamente. A combustão já é amplamente utilizada, sendo os dois últimos os processos de maior interesse para a produção de biocombustíveis avançados. </w:t>
      </w: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A rota BTL faz uso da gaseificação da biomassa e envolve duas etapas. Primeiramente, a biomassa </w:t>
      </w:r>
      <w:r w:rsidR="00C419A7">
        <w:rPr>
          <w:rFonts w:ascii="Times New Roman" w:hAnsi="Times New Roman" w:cs="Times New Roman"/>
          <w:sz w:val="24"/>
          <w:szCs w:val="24"/>
        </w:rPr>
        <w:t>é convertida em um gás de síntese</w:t>
      </w:r>
      <w:r>
        <w:rPr>
          <w:rFonts w:ascii="Times New Roman" w:hAnsi="Times New Roman" w:cs="Times New Roman"/>
          <w:sz w:val="24"/>
          <w:szCs w:val="24"/>
        </w:rPr>
        <w:t xml:space="preserve"> (</w:t>
      </w:r>
      <w:r w:rsidRPr="000720F4">
        <w:rPr>
          <w:rFonts w:ascii="Times New Roman" w:hAnsi="Times New Roman" w:cs="Times New Roman"/>
          <w:i/>
          <w:sz w:val="24"/>
          <w:szCs w:val="24"/>
        </w:rPr>
        <w:t>syngas</w:t>
      </w:r>
      <w:r>
        <w:rPr>
          <w:rFonts w:ascii="Times New Roman" w:hAnsi="Times New Roman" w:cs="Times New Roman"/>
          <w:sz w:val="24"/>
          <w:szCs w:val="24"/>
        </w:rPr>
        <w:t>), formado por hidrogênio e monóxido de carbono (H</w:t>
      </w:r>
      <w:r w:rsidRPr="000720F4">
        <w:rPr>
          <w:rFonts w:ascii="Times New Roman" w:hAnsi="Times New Roman" w:cs="Times New Roman"/>
          <w:sz w:val="24"/>
          <w:szCs w:val="24"/>
          <w:vertAlign w:val="subscript"/>
        </w:rPr>
        <w:t>2</w:t>
      </w:r>
      <w:r>
        <w:rPr>
          <w:rFonts w:ascii="Times New Roman" w:hAnsi="Times New Roman" w:cs="Times New Roman"/>
          <w:sz w:val="24"/>
          <w:szCs w:val="24"/>
        </w:rPr>
        <w:t xml:space="preserve"> + CO). Depois da limpeza, esse gás é convertido em hidrocarbonetos líquidos por meio de síntese Fischer-Tropsch (AIE, 2011</w:t>
      </w:r>
      <w:r w:rsidR="00C419A7">
        <w:rPr>
          <w:rFonts w:ascii="Times New Roman" w:hAnsi="Times New Roman" w:cs="Times New Roman"/>
          <w:sz w:val="24"/>
          <w:szCs w:val="24"/>
        </w:rPr>
        <w:t>b</w:t>
      </w:r>
      <w:r>
        <w:rPr>
          <w:rFonts w:ascii="Times New Roman" w:hAnsi="Times New Roman" w:cs="Times New Roman"/>
          <w:sz w:val="24"/>
          <w:szCs w:val="24"/>
        </w:rPr>
        <w:t>).</w:t>
      </w: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O grande interesse nesta</w:t>
      </w:r>
      <w:r w:rsidRPr="007C21FE">
        <w:rPr>
          <w:rFonts w:ascii="Times New Roman" w:hAnsi="Times New Roman" w:cs="Times New Roman"/>
          <w:sz w:val="24"/>
          <w:szCs w:val="24"/>
        </w:rPr>
        <w:t xml:space="preserve"> rota</w:t>
      </w:r>
      <w:r>
        <w:rPr>
          <w:rFonts w:ascii="Times New Roman" w:hAnsi="Times New Roman" w:cs="Times New Roman"/>
          <w:sz w:val="24"/>
          <w:szCs w:val="24"/>
        </w:rPr>
        <w:t xml:space="preserve"> se deve à sua versatilidade</w:t>
      </w:r>
      <w:r w:rsidR="00193C6B">
        <w:rPr>
          <w:rFonts w:ascii="Times New Roman" w:hAnsi="Times New Roman" w:cs="Times New Roman"/>
          <w:sz w:val="24"/>
          <w:szCs w:val="24"/>
        </w:rPr>
        <w:t>. Além de poder ser queimado em caldeiras,</w:t>
      </w:r>
      <w:r>
        <w:rPr>
          <w:rFonts w:ascii="Times New Roman" w:hAnsi="Times New Roman" w:cs="Times New Roman"/>
          <w:sz w:val="24"/>
          <w:szCs w:val="24"/>
        </w:rPr>
        <w:t xml:space="preserve"> mo</w:t>
      </w:r>
      <w:r w:rsidR="00193C6B">
        <w:rPr>
          <w:rFonts w:ascii="Times New Roman" w:hAnsi="Times New Roman" w:cs="Times New Roman"/>
          <w:sz w:val="24"/>
          <w:szCs w:val="24"/>
        </w:rPr>
        <w:t>tores de combustão interna ou</w:t>
      </w:r>
      <w:r>
        <w:rPr>
          <w:rFonts w:ascii="Times New Roman" w:hAnsi="Times New Roman" w:cs="Times New Roman"/>
          <w:sz w:val="24"/>
          <w:szCs w:val="24"/>
        </w:rPr>
        <w:t xml:space="preserve"> turbinas (ANEEL, 2005), o</w:t>
      </w:r>
      <w:r w:rsidR="00193C6B">
        <w:rPr>
          <w:rFonts w:ascii="Times New Roman" w:hAnsi="Times New Roman" w:cs="Times New Roman"/>
          <w:sz w:val="24"/>
          <w:szCs w:val="24"/>
        </w:rPr>
        <w:t xml:space="preserve"> gás de síntese </w:t>
      </w:r>
      <w:r w:rsidRPr="007C21FE">
        <w:rPr>
          <w:rFonts w:ascii="Times New Roman" w:hAnsi="Times New Roman" w:cs="Times New Roman"/>
          <w:sz w:val="24"/>
          <w:szCs w:val="24"/>
        </w:rPr>
        <w:t>é capaz de produzir uma variedade de combustíveis sintéticos</w:t>
      </w:r>
      <w:r>
        <w:rPr>
          <w:rFonts w:ascii="Times New Roman" w:hAnsi="Times New Roman" w:cs="Times New Roman"/>
          <w:sz w:val="24"/>
          <w:szCs w:val="24"/>
        </w:rPr>
        <w:t xml:space="preserve"> (etanol, éter dimetílico, gasolina, diesel, querosene), e assim atender à</w:t>
      </w:r>
      <w:r w:rsidRPr="007C21FE">
        <w:rPr>
          <w:rFonts w:ascii="Times New Roman" w:hAnsi="Times New Roman" w:cs="Times New Roman"/>
          <w:sz w:val="24"/>
          <w:szCs w:val="24"/>
        </w:rPr>
        <w:t xml:space="preserve"> demanda de veículos pesados,</w:t>
      </w:r>
      <w:r>
        <w:rPr>
          <w:rFonts w:ascii="Times New Roman" w:hAnsi="Times New Roman" w:cs="Times New Roman"/>
          <w:sz w:val="24"/>
          <w:szCs w:val="24"/>
        </w:rPr>
        <w:t xml:space="preserve"> de transporte aquaviário e aéreo</w:t>
      </w:r>
      <w:r w:rsidRPr="007C21FE">
        <w:rPr>
          <w:rFonts w:ascii="Times New Roman" w:hAnsi="Times New Roman" w:cs="Times New Roman"/>
          <w:sz w:val="24"/>
          <w:szCs w:val="24"/>
        </w:rPr>
        <w:t>.</w:t>
      </w:r>
      <w:r>
        <w:rPr>
          <w:rFonts w:ascii="Times New Roman" w:hAnsi="Times New Roman" w:cs="Times New Roman"/>
          <w:sz w:val="24"/>
          <w:szCs w:val="24"/>
        </w:rPr>
        <w:t xml:space="preserve"> A gaseificação da biomassa tem sido aplicada principalmente na síntese desses combustíveis e na geração de eletricidade com a utilização de ciclos integrados de elevada eficiência com turbinas a gás (MACEDO, 2007).</w:t>
      </w: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Já a pirólise rápida,</w:t>
      </w:r>
      <w:r w:rsidRPr="004765EC">
        <w:rPr>
          <w:rFonts w:ascii="Times New Roman" w:hAnsi="Times New Roman" w:cs="Times New Roman"/>
          <w:sz w:val="24"/>
          <w:szCs w:val="24"/>
        </w:rPr>
        <w:t xml:space="preserve"> processo que envolve o rápido aquecimento da biomassa até </w:t>
      </w:r>
      <w:r>
        <w:rPr>
          <w:rFonts w:ascii="Times New Roman" w:hAnsi="Times New Roman" w:cs="Times New Roman"/>
          <w:sz w:val="24"/>
          <w:szCs w:val="24"/>
        </w:rPr>
        <w:t>temperaturas entre 400-600 °C seguido de rápido</w:t>
      </w:r>
      <w:r w:rsidRPr="004765EC">
        <w:rPr>
          <w:rFonts w:ascii="Times New Roman" w:hAnsi="Times New Roman" w:cs="Times New Roman"/>
          <w:sz w:val="24"/>
          <w:szCs w:val="24"/>
        </w:rPr>
        <w:t xml:space="preserve"> </w:t>
      </w:r>
      <w:r>
        <w:rPr>
          <w:rFonts w:ascii="Times New Roman" w:hAnsi="Times New Roman" w:cs="Times New Roman"/>
          <w:sz w:val="24"/>
          <w:szCs w:val="24"/>
        </w:rPr>
        <w:t xml:space="preserve">resfriamento, produz um óleo que pode ser </w:t>
      </w:r>
      <w:r w:rsidRPr="004765EC">
        <w:rPr>
          <w:rFonts w:ascii="Times New Roman" w:hAnsi="Times New Roman" w:cs="Times New Roman"/>
          <w:sz w:val="24"/>
          <w:szCs w:val="24"/>
        </w:rPr>
        <w:t>mais adequado para transporte de longa distância do que</w:t>
      </w:r>
      <w:r>
        <w:rPr>
          <w:rFonts w:ascii="Times New Roman" w:hAnsi="Times New Roman" w:cs="Times New Roman"/>
          <w:sz w:val="24"/>
          <w:szCs w:val="24"/>
        </w:rPr>
        <w:t>,</w:t>
      </w:r>
      <w:r w:rsidRPr="004765EC">
        <w:rPr>
          <w:rFonts w:ascii="Times New Roman" w:hAnsi="Times New Roman" w:cs="Times New Roman"/>
          <w:sz w:val="24"/>
          <w:szCs w:val="24"/>
        </w:rPr>
        <w:t xml:space="preserve"> por exemplo</w:t>
      </w:r>
      <w:r>
        <w:rPr>
          <w:rFonts w:ascii="Times New Roman" w:hAnsi="Times New Roman" w:cs="Times New Roman"/>
          <w:sz w:val="24"/>
          <w:szCs w:val="24"/>
        </w:rPr>
        <w:t>, a</w:t>
      </w:r>
      <w:r w:rsidRPr="004765EC">
        <w:rPr>
          <w:rFonts w:ascii="Times New Roman" w:hAnsi="Times New Roman" w:cs="Times New Roman"/>
          <w:sz w:val="24"/>
          <w:szCs w:val="24"/>
        </w:rPr>
        <w:t xml:space="preserve"> </w:t>
      </w:r>
      <w:r>
        <w:rPr>
          <w:rFonts w:ascii="Times New Roman" w:hAnsi="Times New Roman" w:cs="Times New Roman"/>
          <w:sz w:val="24"/>
          <w:szCs w:val="24"/>
        </w:rPr>
        <w:t>palha ou resíduos de madeira</w:t>
      </w:r>
      <w:r w:rsidRPr="004765EC">
        <w:rPr>
          <w:rFonts w:ascii="Times New Roman" w:hAnsi="Times New Roman" w:cs="Times New Roman"/>
          <w:sz w:val="24"/>
          <w:szCs w:val="24"/>
        </w:rPr>
        <w:t xml:space="preserve">. </w:t>
      </w:r>
      <w:r>
        <w:rPr>
          <w:rFonts w:ascii="Times New Roman" w:hAnsi="Times New Roman" w:cs="Times New Roman"/>
          <w:sz w:val="24"/>
          <w:szCs w:val="24"/>
        </w:rPr>
        <w:t>Este</w:t>
      </w:r>
      <w:r w:rsidRPr="004765EC">
        <w:rPr>
          <w:rFonts w:ascii="Times New Roman" w:hAnsi="Times New Roman" w:cs="Times New Roman"/>
          <w:sz w:val="24"/>
          <w:szCs w:val="24"/>
        </w:rPr>
        <w:t xml:space="preserve"> óleo pode ser processado de maneira </w:t>
      </w:r>
      <w:r>
        <w:rPr>
          <w:rFonts w:ascii="Times New Roman" w:hAnsi="Times New Roman" w:cs="Times New Roman"/>
          <w:sz w:val="24"/>
          <w:szCs w:val="24"/>
        </w:rPr>
        <w:t xml:space="preserve">semelhante à utilizada para o petróleo bruto </w:t>
      </w:r>
      <w:r w:rsidRPr="004765EC">
        <w:rPr>
          <w:rFonts w:ascii="Times New Roman" w:hAnsi="Times New Roman" w:cs="Times New Roman"/>
          <w:sz w:val="24"/>
          <w:szCs w:val="24"/>
        </w:rPr>
        <w:t xml:space="preserve">e </w:t>
      </w:r>
      <w:r>
        <w:rPr>
          <w:rFonts w:ascii="Times New Roman" w:hAnsi="Times New Roman" w:cs="Times New Roman"/>
          <w:sz w:val="24"/>
          <w:szCs w:val="24"/>
        </w:rPr>
        <w:t xml:space="preserve">hoje há </w:t>
      </w:r>
      <w:r w:rsidRPr="004765EC">
        <w:rPr>
          <w:rFonts w:ascii="Times New Roman" w:hAnsi="Times New Roman" w:cs="Times New Roman"/>
          <w:sz w:val="24"/>
          <w:szCs w:val="24"/>
        </w:rPr>
        <w:t xml:space="preserve">vários </w:t>
      </w:r>
      <w:r>
        <w:rPr>
          <w:rFonts w:ascii="Times New Roman" w:hAnsi="Times New Roman" w:cs="Times New Roman"/>
          <w:sz w:val="24"/>
          <w:szCs w:val="24"/>
        </w:rPr>
        <w:t xml:space="preserve">esforços de pesquisa </w:t>
      </w:r>
      <w:r w:rsidRPr="004765EC">
        <w:rPr>
          <w:rFonts w:ascii="Times New Roman" w:hAnsi="Times New Roman" w:cs="Times New Roman"/>
          <w:sz w:val="24"/>
          <w:szCs w:val="24"/>
        </w:rPr>
        <w:t xml:space="preserve">em curso para </w:t>
      </w:r>
      <w:r>
        <w:rPr>
          <w:rFonts w:ascii="Times New Roman" w:hAnsi="Times New Roman" w:cs="Times New Roman"/>
          <w:sz w:val="24"/>
          <w:szCs w:val="24"/>
        </w:rPr>
        <w:t>incluir o óleo de pirólise entre os</w:t>
      </w:r>
      <w:r w:rsidRPr="004765EC">
        <w:rPr>
          <w:rFonts w:ascii="Times New Roman" w:hAnsi="Times New Roman" w:cs="Times New Roman"/>
          <w:sz w:val="24"/>
          <w:szCs w:val="24"/>
        </w:rPr>
        <w:t xml:space="preserve"> biocombustíveis avançados</w:t>
      </w:r>
      <w:r>
        <w:rPr>
          <w:rFonts w:ascii="Times New Roman" w:hAnsi="Times New Roman" w:cs="Times New Roman"/>
          <w:sz w:val="24"/>
          <w:szCs w:val="24"/>
        </w:rPr>
        <w:t xml:space="preserve"> (AIE, 2011b).</w:t>
      </w:r>
    </w:p>
    <w:p w:rsidR="00500082" w:rsidRDefault="00500082" w:rsidP="00C6573C">
      <w:pPr>
        <w:pStyle w:val="Ttulo2"/>
      </w:pPr>
      <w:bookmarkStart w:id="72" w:name="_Toc330506356"/>
    </w:p>
    <w:p w:rsidR="00C6573C" w:rsidRPr="00E477E7" w:rsidRDefault="00500082" w:rsidP="00E477E7">
      <w:pPr>
        <w:pStyle w:val="Ttulo2"/>
      </w:pPr>
      <w:r>
        <w:br w:type="page"/>
      </w:r>
      <w:bookmarkStart w:id="73" w:name="_Toc333911355"/>
      <w:r w:rsidR="00740E2A">
        <w:lastRenderedPageBreak/>
        <w:t>2.5</w:t>
      </w:r>
      <w:r w:rsidR="00C6573C" w:rsidRPr="00740E2A">
        <w:t xml:space="preserve"> A inovação em diversas dimensões</w:t>
      </w:r>
      <w:bookmarkEnd w:id="72"/>
      <w:bookmarkEnd w:id="73"/>
    </w:p>
    <w:p w:rsidR="00C6573C" w:rsidRDefault="00C6573C" w:rsidP="00C6573C">
      <w:pPr>
        <w:spacing w:line="360" w:lineRule="auto"/>
        <w:rPr>
          <w:rFonts w:ascii="Times New Roman" w:hAnsi="Times New Roman" w:cs="Times New Roman"/>
          <w:b/>
          <w:sz w:val="24"/>
          <w:szCs w:val="24"/>
        </w:rPr>
      </w:pPr>
    </w:p>
    <w:p w:rsidR="00C6573C" w:rsidRPr="00037346" w:rsidRDefault="00740E2A" w:rsidP="00740E2A">
      <w:pPr>
        <w:pStyle w:val="Ttulo3"/>
      </w:pPr>
      <w:bookmarkStart w:id="74" w:name="_Toc330506357"/>
      <w:bookmarkStart w:id="75" w:name="_Toc333911356"/>
      <w:r>
        <w:t>2.5</w:t>
      </w:r>
      <w:r w:rsidR="00C6573C" w:rsidRPr="00037346">
        <w:t>.1</w:t>
      </w:r>
      <w:r w:rsidR="00511AA3">
        <w:t xml:space="preserve"> Novos processos, produtos e</w:t>
      </w:r>
      <w:r>
        <w:t xml:space="preserve"> </w:t>
      </w:r>
      <w:r w:rsidR="00C6573C" w:rsidRPr="00037346">
        <w:t>matérias-primas</w:t>
      </w:r>
      <w:bookmarkEnd w:id="74"/>
      <w:bookmarkEnd w:id="75"/>
      <w:r>
        <w:t xml:space="preserve"> </w:t>
      </w:r>
    </w:p>
    <w:p w:rsidR="00C6573C" w:rsidRDefault="00C6573C" w:rsidP="00C6573C">
      <w:pPr>
        <w:spacing w:line="360" w:lineRule="auto"/>
        <w:rPr>
          <w:rFonts w:ascii="Times New Roman" w:hAnsi="Times New Roman" w:cs="Times New Roman"/>
          <w:b/>
          <w:sz w:val="24"/>
          <w:szCs w:val="24"/>
        </w:rPr>
      </w:pPr>
    </w:p>
    <w:p w:rsidR="00C6573C" w:rsidRDefault="00C6573C" w:rsidP="00C6573C">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No atual estágio de pesquisa e desenvolvimento, ainda não é possível afirmar qual rota tecnológica ou matéria-prima será mais eficiente na produção de biocombustíveis avançados. Entretanto, a AIE acredita que, uma vez identificadas as tecnologias de conversão vencedoras, deverá ocorrer uma transição gradativa dos combustíveis convencionais para os avançados, com exceção do etanol de cana-de-açúcar, que continuará a ser produzido de maneira sustentável em diversos países (AIE, 2008).</w:t>
      </w:r>
    </w:p>
    <w:p w:rsidR="00C6573C" w:rsidRDefault="00C6573C" w:rsidP="00C6573C">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O fato de o etanol convencional de cana-de-açúcar já ser considerado um “combustível avançado” segundo os padrões norte-americanos do </w:t>
      </w:r>
      <w:r w:rsidRPr="00A4604E">
        <w:rPr>
          <w:rFonts w:ascii="Times New Roman" w:hAnsi="Times New Roman" w:cs="Times New Roman"/>
          <w:i/>
          <w:sz w:val="24"/>
          <w:szCs w:val="24"/>
          <w:lang w:val="pt-PT"/>
        </w:rPr>
        <w:t>Renewable Fuel Standard 2</w:t>
      </w:r>
      <w:r>
        <w:rPr>
          <w:rFonts w:ascii="Times New Roman" w:hAnsi="Times New Roman" w:cs="Times New Roman"/>
          <w:sz w:val="24"/>
          <w:szCs w:val="24"/>
          <w:lang w:val="pt-PT"/>
        </w:rPr>
        <w:t>, que será apresentado em</w:t>
      </w:r>
      <w:r w:rsidR="00511AA3">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detalhes no estudo de caso do próximo capítulo, levanta a questão sobre a real necessidade de se gastar recursos com o desenvolvimento de biocombustíveis mais caros com desempenho ambiental similar. </w:t>
      </w:r>
    </w:p>
    <w:p w:rsidR="00C6573C" w:rsidRDefault="00C6573C" w:rsidP="00C6573C">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Do que foi exposto sobre as tecnologias mais promissoras, depreende-se que os projetos de inovação almejam não só desenvolver processos como também produtos mais eficientes. O Brasil já conta com o etanol como biocombustível bem-sucedido, porém ele não esgota as possibilidades de atendimento da demanda por combustíveis e produtos químicos renováveis de desempenho elevado. A diversificação da produção e a transformação do modelo de negócios podem contribuir significativamente para o aumento da lucratividade dos produtos derivados de biomassa. </w:t>
      </w:r>
    </w:p>
    <w:p w:rsidR="00C6573C" w:rsidRDefault="00C6573C" w:rsidP="00C6573C">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Com relação a este debate, vale a pena resgatar o conceito de “inovações de ruptura”, atribuído a Clayton Christensen</w:t>
      </w:r>
      <w:r>
        <w:rPr>
          <w:rStyle w:val="Refdenotaderodap"/>
          <w:rFonts w:ascii="Times New Roman" w:hAnsi="Times New Roman" w:cs="Times New Roman"/>
          <w:sz w:val="24"/>
          <w:szCs w:val="24"/>
          <w:lang w:val="pt-PT"/>
        </w:rPr>
        <w:footnoteReference w:id="19"/>
      </w:r>
      <w:r>
        <w:rPr>
          <w:rFonts w:ascii="Times New Roman" w:hAnsi="Times New Roman" w:cs="Times New Roman"/>
          <w:sz w:val="24"/>
          <w:szCs w:val="24"/>
          <w:lang w:val="pt-PT"/>
        </w:rPr>
        <w:t>. Trata-se de inovações voltadas ao atendimento de segmentos de mercado que não são atendidos pela oferta atual. Mesmo que apresentem desempenho inferior, elas podem ter sucesso no nicho inicial e expandir para os segmentos de empresas estabelecidas, representando uma ameaça não percebida por estas. Trazendo o conceito para o contexto aqui estudado “a posição do etanol brasileiro convencional apresenta com a sua superioridade competitiva atual um alvo possível para inovações de ruptura” (CGEE, 2010, p.338).</w:t>
      </w:r>
    </w:p>
    <w:p w:rsidR="00C6573C" w:rsidRDefault="00C6573C" w:rsidP="00C6573C">
      <w:pPr>
        <w:spacing w:line="360" w:lineRule="auto"/>
        <w:ind w:firstLine="709"/>
        <w:rPr>
          <w:rFonts w:ascii="Times New Roman" w:hAnsi="Times New Roman" w:cs="Times New Roman"/>
          <w:sz w:val="24"/>
          <w:szCs w:val="24"/>
        </w:rPr>
      </w:pPr>
      <w:r>
        <w:rPr>
          <w:rFonts w:ascii="Times New Roman" w:hAnsi="Times New Roman" w:cs="Times New Roman"/>
          <w:sz w:val="24"/>
          <w:szCs w:val="24"/>
          <w:lang w:val="pt-PT"/>
        </w:rPr>
        <w:t>A partir do</w:t>
      </w:r>
      <w:r>
        <w:rPr>
          <w:rFonts w:ascii="Times New Roman" w:hAnsi="Times New Roman" w:cs="Times New Roman"/>
          <w:sz w:val="24"/>
          <w:szCs w:val="24"/>
        </w:rPr>
        <w:t xml:space="preserve">s projetos de P&amp;D em andamento, almeja-se atingir uma escala economicamente viável de produção de combustíveis de maior desempenho, </w:t>
      </w:r>
      <w:r w:rsidRPr="00632798">
        <w:rPr>
          <w:rFonts w:ascii="Times New Roman" w:hAnsi="Times New Roman" w:cs="Times New Roman"/>
          <w:sz w:val="24"/>
          <w:szCs w:val="24"/>
        </w:rPr>
        <w:t>como o bioquerosene de aviação e o diesel de cana.</w:t>
      </w:r>
      <w:r>
        <w:rPr>
          <w:rFonts w:ascii="Times New Roman" w:hAnsi="Times New Roman" w:cs="Times New Roman"/>
          <w:sz w:val="24"/>
          <w:szCs w:val="24"/>
        </w:rPr>
        <w:t xml:space="preserve"> No fim de 2010 foi realizado o voo experimental </w:t>
      </w:r>
      <w:r>
        <w:rPr>
          <w:rFonts w:ascii="Times New Roman" w:hAnsi="Times New Roman" w:cs="Times New Roman"/>
          <w:sz w:val="24"/>
          <w:szCs w:val="24"/>
        </w:rPr>
        <w:lastRenderedPageBreak/>
        <w:t xml:space="preserve">de uma aeronave utilizando biocombustível produzido a partir de óleo de pinhão manso. O voo teve aprovação técnica dos fabricantes da aeronave e dos motores (Airbus e CFM, respectivamente) e autorização da </w:t>
      </w:r>
      <w:r w:rsidRPr="009E457C">
        <w:rPr>
          <w:rFonts w:ascii="Times New Roman" w:hAnsi="Times New Roman" w:cs="Times New Roman"/>
          <w:i/>
          <w:sz w:val="24"/>
          <w:szCs w:val="24"/>
        </w:rPr>
        <w:t>European Aviation Safety Agency</w:t>
      </w:r>
      <w:r>
        <w:rPr>
          <w:rFonts w:ascii="Times New Roman" w:hAnsi="Times New Roman" w:cs="Times New Roman"/>
          <w:sz w:val="24"/>
          <w:szCs w:val="24"/>
        </w:rPr>
        <w:t xml:space="preserve"> e Agência Nacional de Aviação Civil. A matéria-prima passou por um processo de hidrotratamento, resultando em bioquerosene que foi misturado com o querosene convencional em proporção de 50% (EPE, 2010). Adicionalmente, um convênio entre EMBRAER, BOEING e </w:t>
      </w:r>
      <w:r w:rsidR="00286902">
        <w:rPr>
          <w:rFonts w:ascii="Times New Roman" w:hAnsi="Times New Roman" w:cs="Times New Roman"/>
          <w:sz w:val="24"/>
          <w:szCs w:val="24"/>
        </w:rPr>
        <w:t>Fundação de Amparo à Pesquisa do Estado de São Paulo (</w:t>
      </w:r>
      <w:r>
        <w:rPr>
          <w:rFonts w:ascii="Times New Roman" w:hAnsi="Times New Roman" w:cs="Times New Roman"/>
          <w:sz w:val="24"/>
          <w:szCs w:val="24"/>
        </w:rPr>
        <w:t>FAPESP</w:t>
      </w:r>
      <w:r w:rsidR="00286902">
        <w:rPr>
          <w:rFonts w:ascii="Times New Roman" w:hAnsi="Times New Roman" w:cs="Times New Roman"/>
          <w:sz w:val="24"/>
          <w:szCs w:val="24"/>
        </w:rPr>
        <w:t>)</w:t>
      </w:r>
      <w:r>
        <w:rPr>
          <w:rFonts w:ascii="Times New Roman" w:hAnsi="Times New Roman" w:cs="Times New Roman"/>
          <w:sz w:val="24"/>
          <w:szCs w:val="24"/>
        </w:rPr>
        <w:t xml:space="preserve"> foi estabelecido com o objetivo de colaborar com o desenvolvimento de biocombustíveis de aviação no Brasil</w:t>
      </w:r>
      <w:r>
        <w:rPr>
          <w:rStyle w:val="Refdenotaderodap"/>
          <w:rFonts w:ascii="Times New Roman" w:hAnsi="Times New Roman" w:cs="Times New Roman"/>
          <w:sz w:val="24"/>
          <w:szCs w:val="24"/>
        </w:rPr>
        <w:footnoteReference w:id="20"/>
      </w:r>
      <w:r>
        <w:rPr>
          <w:rFonts w:ascii="Times New Roman" w:hAnsi="Times New Roman" w:cs="Times New Roman"/>
          <w:sz w:val="24"/>
          <w:szCs w:val="24"/>
        </w:rPr>
        <w:t>.</w:t>
      </w:r>
    </w:p>
    <w:p w:rsidR="00C6573C" w:rsidRDefault="00C6573C" w:rsidP="00C6573C">
      <w:pPr>
        <w:spacing w:line="360" w:lineRule="auto"/>
        <w:ind w:firstLine="709"/>
        <w:rPr>
          <w:rFonts w:ascii="Times New Roman" w:hAnsi="Times New Roman" w:cs="Times New Roman"/>
          <w:sz w:val="24"/>
          <w:szCs w:val="24"/>
        </w:rPr>
      </w:pPr>
      <w:r>
        <w:rPr>
          <w:rFonts w:ascii="Times New Roman" w:hAnsi="Times New Roman" w:cs="Times New Roman"/>
          <w:sz w:val="24"/>
          <w:szCs w:val="24"/>
        </w:rPr>
        <w:t>A empresa de biotecnologia Amyris, por sua vez, vem desenvolvendo combustíveis renováveis por meio de processos bioquímicos que têm hidrocarboneto como base, o que lhes permite atender as especificações internacionais para combustíveis derivados do petróleo, que em alguns casos são vistas com entrave para a ampla adoção de biocom</w:t>
      </w:r>
      <w:r w:rsidR="00146FFB">
        <w:rPr>
          <w:rFonts w:ascii="Times New Roman" w:hAnsi="Times New Roman" w:cs="Times New Roman"/>
          <w:sz w:val="24"/>
          <w:szCs w:val="24"/>
        </w:rPr>
        <w:t>bustíveis convencionais. O próximo capítulo trará informações mais detalhadas sobre o</w:t>
      </w:r>
      <w:r>
        <w:rPr>
          <w:rFonts w:ascii="Times New Roman" w:hAnsi="Times New Roman" w:cs="Times New Roman"/>
          <w:sz w:val="24"/>
          <w:szCs w:val="24"/>
        </w:rPr>
        <w:t xml:space="preserve"> diesel de cana</w:t>
      </w:r>
      <w:r w:rsidR="00146FFB">
        <w:rPr>
          <w:rFonts w:ascii="Times New Roman" w:hAnsi="Times New Roman" w:cs="Times New Roman"/>
          <w:sz w:val="24"/>
          <w:szCs w:val="24"/>
        </w:rPr>
        <w:t>, que</w:t>
      </w:r>
      <w:r>
        <w:rPr>
          <w:rFonts w:ascii="Times New Roman" w:hAnsi="Times New Roman" w:cs="Times New Roman"/>
          <w:sz w:val="24"/>
          <w:szCs w:val="24"/>
        </w:rPr>
        <w:t xml:space="preserve"> já </w:t>
      </w:r>
      <w:r w:rsidR="00146FFB">
        <w:rPr>
          <w:rFonts w:ascii="Times New Roman" w:hAnsi="Times New Roman" w:cs="Times New Roman"/>
          <w:sz w:val="24"/>
          <w:szCs w:val="24"/>
        </w:rPr>
        <w:t>é</w:t>
      </w:r>
      <w:r>
        <w:rPr>
          <w:rFonts w:ascii="Times New Roman" w:hAnsi="Times New Roman" w:cs="Times New Roman"/>
          <w:sz w:val="24"/>
          <w:szCs w:val="24"/>
        </w:rPr>
        <w:t xml:space="preserve"> testado nas frotas de ônibus de algumas cidades brasileiras. </w:t>
      </w:r>
    </w:p>
    <w:p w:rsidR="00C6573C" w:rsidRDefault="00C6573C" w:rsidP="00C6573C">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A BP e a DuPont, por meio da Butamax, inauguraram em Paulínia (SP) um laboratório dedicado à pesquisa e desenvolvimento do biobutanol, um combustível com maior teor energético do que o etanol que tem a vantagem de utilizar a infraestrutura de armazenagem e distribuição atual sem necessidade de adaptações. A empresa emprega leveduras especiais como catalisadores que podem ser recuperadas após a fermentação dos açúcares. </w:t>
      </w:r>
    </w:p>
    <w:p w:rsidR="00C6573C" w:rsidRDefault="00C6573C" w:rsidP="00C6573C">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Já a Shell tem se destacado pela participação em projetos com diferentes focos, apostando em diferentes plataformas tecnológicas. Inicialmente, a empresa optou por associar sua imagem ao desenvolvimento de biocombustíveis “da nova geração, utilizando materiais biológicos não alimentícios e processos alternativos” </w:t>
      </w:r>
      <w:r>
        <w:rPr>
          <w:rStyle w:val="Refdenotaderodap"/>
          <w:rFonts w:ascii="Times New Roman" w:hAnsi="Times New Roman" w:cs="Times New Roman"/>
          <w:sz w:val="24"/>
          <w:szCs w:val="24"/>
        </w:rPr>
        <w:footnoteReference w:id="21"/>
      </w:r>
      <w:r>
        <w:rPr>
          <w:rFonts w:ascii="Times New Roman" w:hAnsi="Times New Roman" w:cs="Times New Roman"/>
          <w:sz w:val="24"/>
          <w:szCs w:val="24"/>
        </w:rPr>
        <w:t xml:space="preserve">, investindo recursos nas rotas BTL e do etanol celulósico. Em 2002, a empresa já havia estabelecido parceria com a Iogen, empresa canadense de biotecnologia que desenvolve tecnologias de produção de etanol celulósico, visando à cooperação na comercialização. Em 2005, associou-se à Choren, cujo foco se dá sobre a rota termoquímica (BTL) para diesel. Posteriormente vieram as parcerias com a Codexis (2006), que aposta na produção de novos biocombustíveis e bioprodutos por meio de processos enzimáticos, e com a Virent (2007), com quem a Shell vem desenvolvendo a produção de biogasolina. Em 2007, por meio de uma </w:t>
      </w:r>
      <w:r w:rsidRPr="008F5A90">
        <w:rPr>
          <w:rFonts w:ascii="Times New Roman" w:hAnsi="Times New Roman" w:cs="Times New Roman"/>
          <w:i/>
          <w:sz w:val="24"/>
          <w:szCs w:val="24"/>
        </w:rPr>
        <w:t>joint venture</w:t>
      </w:r>
      <w:r>
        <w:rPr>
          <w:rFonts w:ascii="Times New Roman" w:hAnsi="Times New Roman" w:cs="Times New Roman"/>
          <w:sz w:val="24"/>
          <w:szCs w:val="24"/>
        </w:rPr>
        <w:t xml:space="preserve"> com a HR Petroleum, </w:t>
      </w:r>
      <w:r>
        <w:rPr>
          <w:rFonts w:ascii="Times New Roman" w:hAnsi="Times New Roman" w:cs="Times New Roman"/>
          <w:sz w:val="24"/>
          <w:szCs w:val="24"/>
        </w:rPr>
        <w:lastRenderedPageBreak/>
        <w:t xml:space="preserve">fundou a Cellana, com o objetivo de desenvolver a produção de óleo vegetal a partir de algas marinhas. </w:t>
      </w:r>
    </w:p>
    <w:p w:rsidR="00C6573C" w:rsidRDefault="00C6573C" w:rsidP="00C6573C">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Contudo, em 2010, a estratégia da empresa mostrou mudanças significativas. Primeiro, com o desligamento da Choren, e depois com a formação de outra </w:t>
      </w:r>
      <w:r w:rsidRPr="00BD107C">
        <w:rPr>
          <w:rFonts w:ascii="Times New Roman" w:hAnsi="Times New Roman" w:cs="Times New Roman"/>
          <w:i/>
          <w:sz w:val="24"/>
          <w:szCs w:val="24"/>
        </w:rPr>
        <w:t>joint venture</w:t>
      </w:r>
      <w:r>
        <w:rPr>
          <w:rFonts w:ascii="Times New Roman" w:hAnsi="Times New Roman" w:cs="Times New Roman"/>
          <w:sz w:val="24"/>
          <w:szCs w:val="24"/>
        </w:rPr>
        <w:t>, desta vez com a Cosan, empresa líder na produção de etanol convencional no Brasil, dando origem à Raízen. Para completar, em 2011, vendeu sua participação na Cellana para a HR Petroleum</w:t>
      </w:r>
      <w:r>
        <w:rPr>
          <w:rStyle w:val="Refdenotaderodap"/>
          <w:rFonts w:ascii="Times New Roman" w:hAnsi="Times New Roman" w:cs="Times New Roman"/>
          <w:sz w:val="24"/>
          <w:szCs w:val="24"/>
        </w:rPr>
        <w:footnoteReference w:id="22"/>
      </w:r>
      <w:r>
        <w:rPr>
          <w:rFonts w:ascii="Times New Roman" w:hAnsi="Times New Roman" w:cs="Times New Roman"/>
          <w:sz w:val="24"/>
          <w:szCs w:val="24"/>
        </w:rPr>
        <w:t>. Essa mudança se mostra emblemática nessa fase de indefinição quanto às tecnologias mais eficientes, evidenciando que a produção dos combustíveis convencionais pode ter maior importância do que se imaginava inicialmente para o desenvolvimento dos biocombustíveis avançados (BOMTEMPO, 2012).</w:t>
      </w:r>
    </w:p>
    <w:p w:rsidR="00C6573C" w:rsidRDefault="00C6573C" w:rsidP="00C6573C">
      <w:pPr>
        <w:spacing w:line="360" w:lineRule="auto"/>
        <w:ind w:firstLine="709"/>
        <w:rPr>
          <w:rFonts w:ascii="Times New Roman" w:hAnsi="Times New Roman" w:cs="Times New Roman"/>
          <w:sz w:val="24"/>
          <w:szCs w:val="24"/>
          <w:lang w:val="pt-PT"/>
        </w:rPr>
      </w:pPr>
      <w:r>
        <w:rPr>
          <w:rFonts w:ascii="Times New Roman" w:hAnsi="Times New Roman" w:cs="Times New Roman"/>
          <w:sz w:val="24"/>
          <w:szCs w:val="24"/>
        </w:rPr>
        <w:t>As estratégias empresariais mencionadas</w:t>
      </w:r>
      <w:r w:rsidRPr="006C1781">
        <w:rPr>
          <w:rFonts w:ascii="Times New Roman" w:hAnsi="Times New Roman" w:cs="Times New Roman"/>
          <w:sz w:val="24"/>
          <w:szCs w:val="24"/>
          <w:lang w:val="pt-PT"/>
        </w:rPr>
        <w:t xml:space="preserve"> mostra</w:t>
      </w:r>
      <w:r>
        <w:rPr>
          <w:rFonts w:ascii="Times New Roman" w:hAnsi="Times New Roman" w:cs="Times New Roman"/>
          <w:sz w:val="24"/>
          <w:szCs w:val="24"/>
          <w:lang w:val="pt-PT"/>
        </w:rPr>
        <w:t>m</w:t>
      </w:r>
      <w:r w:rsidRPr="006C1781">
        <w:rPr>
          <w:rFonts w:ascii="Times New Roman" w:hAnsi="Times New Roman" w:cs="Times New Roman"/>
          <w:sz w:val="24"/>
          <w:szCs w:val="24"/>
          <w:lang w:val="pt-PT"/>
        </w:rPr>
        <w:t xml:space="preserve"> que a competição de mercado não ocorre somen</w:t>
      </w:r>
      <w:r>
        <w:rPr>
          <w:rFonts w:ascii="Times New Roman" w:hAnsi="Times New Roman" w:cs="Times New Roman"/>
          <w:sz w:val="24"/>
          <w:szCs w:val="24"/>
          <w:lang w:val="pt-PT"/>
        </w:rPr>
        <w:t>te via preço, mas também</w:t>
      </w:r>
      <w:r w:rsidRPr="006C1781">
        <w:rPr>
          <w:rFonts w:ascii="Times New Roman" w:hAnsi="Times New Roman" w:cs="Times New Roman"/>
          <w:sz w:val="24"/>
          <w:szCs w:val="24"/>
          <w:lang w:val="pt-PT"/>
        </w:rPr>
        <w:t xml:space="preserve"> por meio de inovações tecnológicas. Em um ambiente que se encontra em constante mudança, a concorrência não deve se basear nos produtos que são ofertad</w:t>
      </w:r>
      <w:r>
        <w:rPr>
          <w:rFonts w:ascii="Times New Roman" w:hAnsi="Times New Roman" w:cs="Times New Roman"/>
          <w:sz w:val="24"/>
          <w:szCs w:val="24"/>
          <w:lang w:val="pt-PT"/>
        </w:rPr>
        <w:t>os no presente, mas em competências</w:t>
      </w:r>
      <w:r w:rsidR="00707439">
        <w:rPr>
          <w:rFonts w:ascii="Times New Roman" w:hAnsi="Times New Roman" w:cs="Times New Roman"/>
          <w:sz w:val="24"/>
          <w:szCs w:val="24"/>
          <w:lang w:val="pt-PT"/>
        </w:rPr>
        <w:t xml:space="preserve"> como as descritas por Hamel e Prahalad</w:t>
      </w:r>
      <w:r w:rsidR="002355A0">
        <w:rPr>
          <w:rFonts w:ascii="Times New Roman" w:hAnsi="Times New Roman" w:cs="Times New Roman"/>
          <w:sz w:val="24"/>
          <w:szCs w:val="24"/>
          <w:lang w:val="pt-PT"/>
        </w:rPr>
        <w:t xml:space="preserve"> (</w:t>
      </w:r>
      <w:r>
        <w:rPr>
          <w:rFonts w:ascii="Times New Roman" w:hAnsi="Times New Roman" w:cs="Times New Roman"/>
          <w:sz w:val="24"/>
          <w:szCs w:val="24"/>
          <w:lang w:val="pt-PT"/>
        </w:rPr>
        <w:t>1990</w:t>
      </w:r>
      <w:r w:rsidR="002355A0">
        <w:rPr>
          <w:rFonts w:ascii="Times New Roman" w:hAnsi="Times New Roman" w:cs="Times New Roman"/>
          <w:sz w:val="24"/>
          <w:szCs w:val="24"/>
          <w:lang w:val="pt-PT"/>
        </w:rPr>
        <w:t xml:space="preserve"> apud BOMTEMPO; VIEGAS, 2010</w:t>
      </w:r>
      <w:r w:rsidRPr="006C1781">
        <w:rPr>
          <w:rFonts w:ascii="Times New Roman" w:hAnsi="Times New Roman" w:cs="Times New Roman"/>
          <w:sz w:val="24"/>
          <w:szCs w:val="24"/>
          <w:lang w:val="pt-PT"/>
        </w:rPr>
        <w:t>). Assim, as competências dinâmicas e organizacionais tornam-se fundamentais para a definição da estrutura da indústria e sustentação de elevados níveis de desempenho. No caso dos biocombustíveis, o resultado que se espera obter de tai</w:t>
      </w:r>
      <w:r>
        <w:rPr>
          <w:rFonts w:ascii="Times New Roman" w:hAnsi="Times New Roman" w:cs="Times New Roman"/>
          <w:sz w:val="24"/>
          <w:szCs w:val="24"/>
          <w:lang w:val="pt-PT"/>
        </w:rPr>
        <w:t>s competências é, sobretudo</w:t>
      </w:r>
      <w:r w:rsidRPr="006C1781">
        <w:rPr>
          <w:rFonts w:ascii="Times New Roman" w:hAnsi="Times New Roman" w:cs="Times New Roman"/>
          <w:sz w:val="24"/>
          <w:szCs w:val="24"/>
          <w:lang w:val="pt-PT"/>
        </w:rPr>
        <w:t>, a redução dos custos de produção e o atendimento de exigências mais rigorosas de sustentabilidade ambiental, seja por legislação ou por pressão social, já que existe pouco espaç</w:t>
      </w:r>
      <w:r>
        <w:rPr>
          <w:rFonts w:ascii="Times New Roman" w:hAnsi="Times New Roman" w:cs="Times New Roman"/>
          <w:sz w:val="24"/>
          <w:szCs w:val="24"/>
          <w:lang w:val="pt-PT"/>
        </w:rPr>
        <w:t>o para diferenciação de produto</w:t>
      </w:r>
      <w:r>
        <w:rPr>
          <w:rStyle w:val="Refdenotaderodap"/>
          <w:rFonts w:ascii="Times New Roman" w:hAnsi="Times New Roman" w:cs="Times New Roman"/>
          <w:sz w:val="24"/>
          <w:szCs w:val="24"/>
          <w:lang w:val="pt-PT"/>
        </w:rPr>
        <w:footnoteReference w:id="23"/>
      </w:r>
      <w:r w:rsidRPr="006C1781">
        <w:rPr>
          <w:rFonts w:ascii="Times New Roman" w:hAnsi="Times New Roman" w:cs="Times New Roman"/>
          <w:sz w:val="24"/>
          <w:szCs w:val="24"/>
          <w:lang w:val="pt-PT"/>
        </w:rPr>
        <w:t>.</w:t>
      </w:r>
    </w:p>
    <w:p w:rsidR="00C6573C" w:rsidRDefault="00C6573C" w:rsidP="00C6573C">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Entre as matérias-primas estudadas, além dos resíduos vegetais e algas, encontram-se espécies vegetais de alta produtividade ou culturas energéticas (em inglês são chamadas de </w:t>
      </w:r>
      <w:r w:rsidRPr="00166741">
        <w:rPr>
          <w:rFonts w:ascii="Times New Roman" w:hAnsi="Times New Roman" w:cs="Times New Roman"/>
          <w:i/>
          <w:sz w:val="24"/>
          <w:szCs w:val="24"/>
        </w:rPr>
        <w:t>energy crops</w:t>
      </w:r>
      <w:r>
        <w:rPr>
          <w:rFonts w:ascii="Times New Roman" w:hAnsi="Times New Roman" w:cs="Times New Roman"/>
          <w:sz w:val="24"/>
          <w:szCs w:val="24"/>
        </w:rPr>
        <w:t>) e resíduos urbanos. Bomtempo (2012) lembra que a evolução das investigaç</w:t>
      </w:r>
      <w:r w:rsidR="005B1629">
        <w:rPr>
          <w:rFonts w:ascii="Times New Roman" w:hAnsi="Times New Roman" w:cs="Times New Roman"/>
          <w:sz w:val="24"/>
          <w:szCs w:val="24"/>
        </w:rPr>
        <w:t>ões nessa área, como é típico em</w:t>
      </w:r>
      <w:r>
        <w:rPr>
          <w:rFonts w:ascii="Times New Roman" w:hAnsi="Times New Roman" w:cs="Times New Roman"/>
          <w:sz w:val="24"/>
          <w:szCs w:val="24"/>
        </w:rPr>
        <w:t xml:space="preserve"> processos de inovação, tem sido bastante difícil, alternando fracassos e sucessos como resultado dos esforços dos pesqui</w:t>
      </w:r>
      <w:r w:rsidR="00D65634">
        <w:rPr>
          <w:rFonts w:ascii="Times New Roman" w:hAnsi="Times New Roman" w:cs="Times New Roman"/>
          <w:sz w:val="24"/>
          <w:szCs w:val="24"/>
        </w:rPr>
        <w:t>sadores. Essa dificuldade decorre</w:t>
      </w:r>
      <w:r>
        <w:rPr>
          <w:rFonts w:ascii="Times New Roman" w:hAnsi="Times New Roman" w:cs="Times New Roman"/>
          <w:sz w:val="24"/>
          <w:szCs w:val="24"/>
        </w:rPr>
        <w:t xml:space="preserve"> da existência de diversos fatores críticos para a viabilidade econômica de uma matéria-prima, como disponibilidade, preço, qualidade, custo de logística, atendimento a critérios de sustentabilidade ambiental, e conciliá-los tem sido o maior desafio dos investidores dessa indústria. Desse modo, apesar da possibilidade de serem empregadas diversas matérias-primas, a cana-de-açúcar tem se mostrado uma das mais vantajosas em termos econômicos, e </w:t>
      </w:r>
      <w:r>
        <w:rPr>
          <w:rFonts w:ascii="Times New Roman" w:hAnsi="Times New Roman" w:cs="Times New Roman"/>
          <w:sz w:val="24"/>
          <w:szCs w:val="24"/>
        </w:rPr>
        <w:lastRenderedPageBreak/>
        <w:t>por isso tanta atenção tem sido dada ao Brasil pelas empresas focadas no desenvolvimento de combustíveis avançados.</w:t>
      </w:r>
    </w:p>
    <w:p w:rsidR="00C6573C" w:rsidRDefault="00C6573C" w:rsidP="00C6573C">
      <w:pPr>
        <w:spacing w:line="360" w:lineRule="auto"/>
        <w:rPr>
          <w:rFonts w:ascii="Times New Roman" w:hAnsi="Times New Roman" w:cs="Times New Roman"/>
          <w:sz w:val="24"/>
          <w:szCs w:val="24"/>
        </w:rPr>
      </w:pPr>
      <w:r>
        <w:rPr>
          <w:rFonts w:ascii="Times New Roman" w:hAnsi="Times New Roman" w:cs="Times New Roman"/>
          <w:sz w:val="24"/>
          <w:szCs w:val="24"/>
        </w:rPr>
        <w:tab/>
        <w:t>Além de novos combustíveis, é bastante provável que surjam também novos produtos renováveis. Um exemplo de sucesso é o biopolietileno, lançado pela Braskem em 2010, com base na conversão do etanol em eteno. Posteriormente, a mesma empresa apostou na versão “verde” do polipropileno, segundo plástico mais utilizado no mundo. Ambos têm características idênticas às apresentadas pelos produtos petroquímicos correspondentes e não requerem mudanças expressivas na estrutura produtiva. Na próxima seção, serão apresentados outros produtos que poderão ser explorados pela bioindústria integrada.</w:t>
      </w:r>
    </w:p>
    <w:p w:rsidR="00C6573C" w:rsidRDefault="00C6573C" w:rsidP="00C6573C">
      <w:pPr>
        <w:spacing w:line="360" w:lineRule="auto"/>
        <w:rPr>
          <w:rFonts w:ascii="Times New Roman" w:hAnsi="Times New Roman" w:cs="Times New Roman"/>
          <w:sz w:val="24"/>
          <w:szCs w:val="24"/>
        </w:rPr>
      </w:pPr>
    </w:p>
    <w:p w:rsidR="00C6573C" w:rsidRPr="00037346" w:rsidRDefault="00740E2A" w:rsidP="00740E2A">
      <w:pPr>
        <w:pStyle w:val="Ttulo3"/>
      </w:pPr>
      <w:bookmarkStart w:id="76" w:name="_Toc330506358"/>
      <w:bookmarkStart w:id="77" w:name="_Toc333911357"/>
      <w:r>
        <w:t>2.5</w:t>
      </w:r>
      <w:r w:rsidR="00C6573C" w:rsidRPr="00037346">
        <w:t>.2 Biorrefinarias e coprodutos</w:t>
      </w:r>
      <w:bookmarkEnd w:id="76"/>
      <w:bookmarkEnd w:id="77"/>
    </w:p>
    <w:p w:rsidR="00C6573C" w:rsidRPr="007760E6" w:rsidRDefault="00C6573C" w:rsidP="00C6573C">
      <w:pPr>
        <w:spacing w:line="360" w:lineRule="auto"/>
        <w:rPr>
          <w:rFonts w:ascii="Times New Roman" w:hAnsi="Times New Roman" w:cs="Times New Roman"/>
          <w:b/>
          <w:sz w:val="24"/>
          <w:szCs w:val="24"/>
        </w:rPr>
      </w:pP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O desenvolvimento da Química Verde tem levado diversos pesquisadores e cientistas a se debruçarem sobre estudos prospectivos envolvendo inovações químicas que potencialmente agregarão mais valor às matérias-primas renováveis. Mais próximo de nosso cotidiano, ações de marketing como o lançamento da </w:t>
      </w:r>
      <w:r w:rsidRPr="00136473">
        <w:rPr>
          <w:rFonts w:ascii="Times New Roman" w:hAnsi="Times New Roman" w:cs="Times New Roman"/>
          <w:i/>
          <w:sz w:val="24"/>
          <w:szCs w:val="24"/>
        </w:rPr>
        <w:t>plantbottle</w:t>
      </w:r>
      <w:r>
        <w:rPr>
          <w:rFonts w:ascii="Times New Roman" w:hAnsi="Times New Roman" w:cs="Times New Roman"/>
          <w:sz w:val="24"/>
          <w:szCs w:val="24"/>
        </w:rPr>
        <w:t xml:space="preserve">, embalagem plástica que contém 30% de material baseado em fontes renováveis, pela Coca-Cola podem ter enorme potencial de difusão de novos conceitos pela economia (CGEE, 2010). Esse processo contribui para a transformação das indústrias que utilizam a biomassa como matéria-prima, entre elas a sucroalcooleira. </w:t>
      </w:r>
    </w:p>
    <w:p w:rsidR="00C6573C" w:rsidRDefault="00C6573C" w:rsidP="00C6573C">
      <w:pPr>
        <w:spacing w:line="360" w:lineRule="auto"/>
        <w:ind w:firstLine="708"/>
        <w:rPr>
          <w:rFonts w:ascii="Times New Roman" w:hAnsi="Times New Roman" w:cs="Times New Roman"/>
          <w:b/>
          <w:sz w:val="24"/>
          <w:szCs w:val="24"/>
        </w:rPr>
      </w:pPr>
      <w:r>
        <w:rPr>
          <w:rFonts w:ascii="Times New Roman" w:hAnsi="Times New Roman" w:cs="Times New Roman"/>
          <w:sz w:val="24"/>
          <w:szCs w:val="24"/>
        </w:rPr>
        <w:t xml:space="preserve">A amplitude de possibilidades de uso para a biomassa levou ao desenvolvimento do que se convencionou chamar de “biorrefinaria”, à imagem de uma refinaria de petróleo. O conceito “contradiz o raciocínio por justaposição de cadeias de produção, o qual pressupõe a separação total de áreas, e busca a construção de sistemas integrados para a produção de compostos químicos, alimentos e energia” (CGEE, 2010, p. 20). </w:t>
      </w:r>
      <w:bookmarkStart w:id="78" w:name="_Toc330505779"/>
      <w:bookmarkStart w:id="79" w:name="_Toc330506359"/>
    </w:p>
    <w:p w:rsidR="00C6573C" w:rsidRDefault="00C6573C" w:rsidP="00C6573C">
      <w:pPr>
        <w:spacing w:line="360" w:lineRule="auto"/>
        <w:ind w:firstLine="708"/>
        <w:rPr>
          <w:rFonts w:ascii="Times New Roman" w:hAnsi="Times New Roman" w:cs="Times New Roman"/>
          <w:b/>
          <w:sz w:val="24"/>
          <w:szCs w:val="24"/>
        </w:rPr>
      </w:pPr>
    </w:p>
    <w:p w:rsidR="00C6573C" w:rsidRDefault="00C6573C" w:rsidP="00C6573C">
      <w:pPr>
        <w:spacing w:line="360" w:lineRule="auto"/>
        <w:ind w:firstLine="708"/>
        <w:jc w:val="center"/>
        <w:rPr>
          <w:rFonts w:ascii="Times New Roman" w:hAnsi="Times New Roman" w:cs="Times New Roman"/>
          <w:b/>
          <w:sz w:val="24"/>
          <w:szCs w:val="24"/>
        </w:rPr>
      </w:pPr>
    </w:p>
    <w:p w:rsidR="00C6573C" w:rsidRDefault="00C6573C" w:rsidP="00C6573C">
      <w:pPr>
        <w:spacing w:line="360" w:lineRule="auto"/>
        <w:ind w:firstLine="708"/>
        <w:jc w:val="center"/>
        <w:rPr>
          <w:rFonts w:ascii="Times New Roman" w:hAnsi="Times New Roman" w:cs="Times New Roman"/>
          <w:b/>
          <w:sz w:val="24"/>
          <w:szCs w:val="24"/>
        </w:rPr>
      </w:pPr>
    </w:p>
    <w:p w:rsidR="00C6573C" w:rsidRDefault="00C6573C" w:rsidP="00C6573C">
      <w:pPr>
        <w:spacing w:line="360" w:lineRule="auto"/>
        <w:ind w:firstLine="708"/>
        <w:jc w:val="center"/>
        <w:rPr>
          <w:rFonts w:ascii="Times New Roman" w:hAnsi="Times New Roman" w:cs="Times New Roman"/>
          <w:b/>
          <w:sz w:val="24"/>
          <w:szCs w:val="24"/>
        </w:rPr>
      </w:pPr>
    </w:p>
    <w:p w:rsidR="00C6573C" w:rsidRDefault="00C6573C" w:rsidP="00C6573C">
      <w:pPr>
        <w:spacing w:line="360" w:lineRule="auto"/>
        <w:ind w:firstLine="708"/>
        <w:jc w:val="center"/>
        <w:rPr>
          <w:rFonts w:ascii="Times New Roman" w:hAnsi="Times New Roman" w:cs="Times New Roman"/>
          <w:b/>
          <w:sz w:val="24"/>
          <w:szCs w:val="24"/>
        </w:rPr>
      </w:pPr>
    </w:p>
    <w:p w:rsidR="00C6573C" w:rsidRDefault="00C6573C" w:rsidP="00C6573C">
      <w:pPr>
        <w:spacing w:line="360" w:lineRule="auto"/>
        <w:ind w:firstLine="708"/>
        <w:jc w:val="center"/>
        <w:rPr>
          <w:rFonts w:ascii="Times New Roman" w:hAnsi="Times New Roman" w:cs="Times New Roman"/>
          <w:b/>
          <w:sz w:val="24"/>
          <w:szCs w:val="24"/>
        </w:rPr>
      </w:pPr>
    </w:p>
    <w:p w:rsidR="00500082" w:rsidRDefault="00500082">
      <w:pPr>
        <w:rPr>
          <w:rFonts w:ascii="Times New Roman" w:hAnsi="Times New Roman" w:cs="Times New Roman"/>
          <w:b/>
          <w:sz w:val="24"/>
          <w:szCs w:val="24"/>
        </w:rPr>
      </w:pPr>
      <w:r>
        <w:rPr>
          <w:rFonts w:ascii="Times New Roman" w:hAnsi="Times New Roman" w:cs="Times New Roman"/>
          <w:b/>
          <w:sz w:val="24"/>
          <w:szCs w:val="24"/>
        </w:rPr>
        <w:br w:type="page"/>
      </w:r>
    </w:p>
    <w:p w:rsidR="00C6573C" w:rsidRDefault="00C6573C" w:rsidP="00C6573C">
      <w:pPr>
        <w:spacing w:line="360" w:lineRule="auto"/>
        <w:ind w:firstLine="708"/>
        <w:jc w:val="center"/>
        <w:rPr>
          <w:rFonts w:ascii="Times New Roman" w:hAnsi="Times New Roman" w:cs="Times New Roman"/>
          <w:b/>
          <w:sz w:val="24"/>
          <w:szCs w:val="24"/>
        </w:rPr>
      </w:pPr>
      <w:r w:rsidRPr="005A4E85">
        <w:rPr>
          <w:rFonts w:ascii="Times New Roman" w:hAnsi="Times New Roman" w:cs="Times New Roman"/>
          <w:b/>
          <w:sz w:val="24"/>
          <w:szCs w:val="24"/>
        </w:rPr>
        <w:lastRenderedPageBreak/>
        <w:t xml:space="preserve">Figura </w:t>
      </w:r>
      <w:r>
        <w:rPr>
          <w:rFonts w:ascii="Times New Roman" w:hAnsi="Times New Roman" w:cs="Times New Roman"/>
          <w:b/>
          <w:sz w:val="24"/>
          <w:szCs w:val="24"/>
        </w:rPr>
        <w:t>4</w:t>
      </w:r>
      <w:r w:rsidRPr="005A4E85">
        <w:rPr>
          <w:rFonts w:ascii="Times New Roman" w:hAnsi="Times New Roman" w:cs="Times New Roman"/>
          <w:b/>
          <w:sz w:val="24"/>
          <w:szCs w:val="24"/>
        </w:rPr>
        <w:t>. Biorrefinaria lignocelulósica: produtos da celulose</w:t>
      </w:r>
      <w:bookmarkEnd w:id="78"/>
      <w:bookmarkEnd w:id="79"/>
    </w:p>
    <w:p w:rsidR="003D61A0" w:rsidRDefault="003D61A0" w:rsidP="00C6573C">
      <w:pPr>
        <w:spacing w:line="360" w:lineRule="auto"/>
        <w:ind w:firstLine="708"/>
        <w:jc w:val="center"/>
        <w:rPr>
          <w:rFonts w:ascii="Times New Roman" w:hAnsi="Times New Roman" w:cs="Times New Roman"/>
          <w:b/>
          <w:sz w:val="24"/>
          <w:szCs w:val="24"/>
        </w:rPr>
      </w:pPr>
    </w:p>
    <w:p w:rsidR="003D61A0" w:rsidRPr="00805605" w:rsidRDefault="003D61A0" w:rsidP="00C6573C">
      <w:pPr>
        <w:spacing w:line="360" w:lineRule="auto"/>
        <w:ind w:firstLine="708"/>
        <w:jc w:val="center"/>
        <w:rPr>
          <w:rFonts w:ascii="Times New Roman" w:hAnsi="Times New Roman" w:cs="Times New Roman"/>
          <w:sz w:val="24"/>
          <w:szCs w:val="24"/>
        </w:rPr>
      </w:pPr>
    </w:p>
    <w:p w:rsidR="00C6573C" w:rsidRDefault="00C6573C" w:rsidP="00C6573C">
      <w:pPr>
        <w:spacing w:line="360" w:lineRule="auto"/>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5400040" cy="3317850"/>
            <wp:effectExtent l="19050" t="0" r="0" b="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400040" cy="3317850"/>
                    </a:xfrm>
                    <a:prstGeom prst="rect">
                      <a:avLst/>
                    </a:prstGeom>
                    <a:noFill/>
                    <a:ln w="9525">
                      <a:noFill/>
                      <a:miter lim="800000"/>
                      <a:headEnd/>
                      <a:tailEnd/>
                    </a:ln>
                  </pic:spPr>
                </pic:pic>
              </a:graphicData>
            </a:graphic>
          </wp:inline>
        </w:drawing>
      </w:r>
    </w:p>
    <w:p w:rsidR="00C6573C" w:rsidRDefault="00C6573C" w:rsidP="00C6573C">
      <w:pPr>
        <w:spacing w:line="360" w:lineRule="auto"/>
        <w:ind w:firstLine="708"/>
        <w:rPr>
          <w:rFonts w:ascii="Times New Roman" w:hAnsi="Times New Roman" w:cs="Times New Roman"/>
          <w:sz w:val="20"/>
          <w:szCs w:val="20"/>
        </w:rPr>
      </w:pPr>
    </w:p>
    <w:p w:rsidR="00C6573C" w:rsidRPr="005A4E85" w:rsidRDefault="00C6573C" w:rsidP="00C6573C">
      <w:pPr>
        <w:spacing w:line="360" w:lineRule="auto"/>
        <w:ind w:firstLine="708"/>
        <w:outlineLvl w:val="0"/>
        <w:rPr>
          <w:rFonts w:ascii="Times New Roman" w:hAnsi="Times New Roman" w:cs="Times New Roman"/>
          <w:sz w:val="20"/>
          <w:szCs w:val="20"/>
        </w:rPr>
      </w:pPr>
      <w:bookmarkStart w:id="80" w:name="_Toc330505780"/>
      <w:bookmarkStart w:id="81" w:name="_Toc330506360"/>
      <w:bookmarkStart w:id="82" w:name="_Toc331848325"/>
      <w:bookmarkStart w:id="83" w:name="_Toc331848533"/>
      <w:bookmarkStart w:id="84" w:name="_Toc332018607"/>
      <w:bookmarkStart w:id="85" w:name="_Toc333911358"/>
      <w:r w:rsidRPr="005A4E85">
        <w:rPr>
          <w:rFonts w:ascii="Times New Roman" w:hAnsi="Times New Roman" w:cs="Times New Roman"/>
          <w:sz w:val="20"/>
          <w:szCs w:val="20"/>
        </w:rPr>
        <w:t>Fonte: Pereira Jr. et al, 2008 apud CGEE (2010)</w:t>
      </w:r>
      <w:bookmarkEnd w:id="80"/>
      <w:bookmarkEnd w:id="81"/>
      <w:bookmarkEnd w:id="82"/>
      <w:bookmarkEnd w:id="83"/>
      <w:bookmarkEnd w:id="84"/>
      <w:bookmarkEnd w:id="85"/>
    </w:p>
    <w:p w:rsidR="00C6573C" w:rsidRDefault="00C6573C" w:rsidP="00C6573C">
      <w:pPr>
        <w:spacing w:line="360" w:lineRule="auto"/>
        <w:ind w:firstLine="708"/>
        <w:rPr>
          <w:rFonts w:ascii="Times New Roman" w:hAnsi="Times New Roman" w:cs="Times New Roman"/>
          <w:sz w:val="24"/>
          <w:szCs w:val="24"/>
        </w:rPr>
      </w:pP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A produção conjunta permite alcançar maiores níveis de eficiência ao explorar economias de escopo, a exemplo dos ganhos de produtividade que as usinas brasileiras apresentaram quando passaram a exportar excedentes de eletricidade para a rede de distribuição. As estratégias</w:t>
      </w:r>
      <w:r w:rsidRPr="006D11AA">
        <w:rPr>
          <w:rFonts w:ascii="Times New Roman" w:hAnsi="Times New Roman" w:cs="Times New Roman"/>
          <w:sz w:val="24"/>
          <w:szCs w:val="24"/>
        </w:rPr>
        <w:t xml:space="preserve"> de diversificação </w:t>
      </w:r>
      <w:r>
        <w:rPr>
          <w:rFonts w:ascii="Times New Roman" w:hAnsi="Times New Roman" w:cs="Times New Roman"/>
          <w:sz w:val="24"/>
          <w:szCs w:val="24"/>
        </w:rPr>
        <w:t xml:space="preserve">deixaram de ser </w:t>
      </w:r>
      <w:r w:rsidRPr="006D11AA">
        <w:rPr>
          <w:rFonts w:ascii="Times New Roman" w:hAnsi="Times New Roman" w:cs="Times New Roman"/>
          <w:sz w:val="24"/>
          <w:szCs w:val="24"/>
        </w:rPr>
        <w:t xml:space="preserve">uma opção </w:t>
      </w:r>
      <w:r>
        <w:rPr>
          <w:rFonts w:ascii="Times New Roman" w:hAnsi="Times New Roman" w:cs="Times New Roman"/>
          <w:sz w:val="24"/>
          <w:szCs w:val="24"/>
        </w:rPr>
        <w:t>empreendida apenas pelas usinas mais dinâmicas, mostrando-se essenciais para a superação</w:t>
      </w:r>
      <w:r w:rsidRPr="006D11AA">
        <w:rPr>
          <w:rFonts w:ascii="Times New Roman" w:hAnsi="Times New Roman" w:cs="Times New Roman"/>
          <w:sz w:val="24"/>
          <w:szCs w:val="24"/>
        </w:rPr>
        <w:t xml:space="preserve"> </w:t>
      </w:r>
      <w:r>
        <w:rPr>
          <w:rFonts w:ascii="Times New Roman" w:hAnsi="Times New Roman" w:cs="Times New Roman"/>
          <w:sz w:val="24"/>
          <w:szCs w:val="24"/>
        </w:rPr>
        <w:t>d</w:t>
      </w:r>
      <w:r w:rsidRPr="006D11AA">
        <w:rPr>
          <w:rFonts w:ascii="Times New Roman" w:hAnsi="Times New Roman" w:cs="Times New Roman"/>
          <w:sz w:val="24"/>
          <w:szCs w:val="24"/>
        </w:rPr>
        <w:t>a crise de mercad</w:t>
      </w:r>
      <w:r>
        <w:rPr>
          <w:rFonts w:ascii="Times New Roman" w:hAnsi="Times New Roman" w:cs="Times New Roman"/>
          <w:sz w:val="24"/>
          <w:szCs w:val="24"/>
        </w:rPr>
        <w:t xml:space="preserve">o que a indústria sucroalcooleira vinha enfrentando durante a década de 1990 </w:t>
      </w:r>
      <w:r w:rsidRPr="006D11AA">
        <w:rPr>
          <w:rFonts w:ascii="Times New Roman" w:hAnsi="Times New Roman" w:cs="Times New Roman"/>
          <w:sz w:val="24"/>
          <w:szCs w:val="24"/>
        </w:rPr>
        <w:t>(SZMRECSÁN</w:t>
      </w:r>
      <w:r w:rsidR="007A20D0">
        <w:rPr>
          <w:rFonts w:ascii="Times New Roman" w:hAnsi="Times New Roman" w:cs="Times New Roman"/>
          <w:sz w:val="24"/>
          <w:szCs w:val="24"/>
        </w:rPr>
        <w:t xml:space="preserve">YI, 2002 apud IEL; </w:t>
      </w:r>
      <w:r>
        <w:rPr>
          <w:rFonts w:ascii="Times New Roman" w:hAnsi="Times New Roman" w:cs="Times New Roman"/>
          <w:sz w:val="24"/>
          <w:szCs w:val="24"/>
        </w:rPr>
        <w:t xml:space="preserve">SEBRAE, 2005). Com as perspectivas de expansão da demanda por biocombustíveis, </w:t>
      </w:r>
      <w:r w:rsidRPr="006D11AA">
        <w:rPr>
          <w:rFonts w:ascii="Times New Roman" w:hAnsi="Times New Roman" w:cs="Times New Roman"/>
          <w:sz w:val="24"/>
          <w:szCs w:val="24"/>
        </w:rPr>
        <w:t>a diversificação pro</w:t>
      </w:r>
      <w:r>
        <w:rPr>
          <w:rFonts w:ascii="Times New Roman" w:hAnsi="Times New Roman" w:cs="Times New Roman"/>
          <w:sz w:val="24"/>
          <w:szCs w:val="24"/>
        </w:rPr>
        <w:t>dutiva torna-se elemento essencial para a manutenção das vantagens competitivas já alcançadas.</w:t>
      </w:r>
    </w:p>
    <w:p w:rsidR="00C6573C" w:rsidRDefault="00C6573C" w:rsidP="00C6573C">
      <w:pPr>
        <w:spacing w:line="360" w:lineRule="auto"/>
        <w:ind w:firstLine="708"/>
        <w:rPr>
          <w:rFonts w:ascii="Times New Roman" w:hAnsi="Times New Roman" w:cs="Times New Roman"/>
          <w:sz w:val="24"/>
          <w:szCs w:val="24"/>
        </w:rPr>
      </w:pPr>
    </w:p>
    <w:p w:rsidR="00C6573C" w:rsidRDefault="00C6573C" w:rsidP="00C6573C">
      <w:pPr>
        <w:jc w:val="center"/>
        <w:rPr>
          <w:rFonts w:ascii="Times New Roman" w:hAnsi="Times New Roman" w:cs="Times New Roman"/>
          <w:b/>
          <w:sz w:val="24"/>
          <w:szCs w:val="24"/>
        </w:rPr>
      </w:pPr>
      <w:bookmarkStart w:id="86" w:name="_Toc330505781"/>
      <w:bookmarkStart w:id="87" w:name="_Toc330506361"/>
    </w:p>
    <w:p w:rsidR="00C6573C" w:rsidRDefault="00C6573C" w:rsidP="00C6573C">
      <w:pPr>
        <w:jc w:val="center"/>
        <w:rPr>
          <w:rFonts w:ascii="Times New Roman" w:hAnsi="Times New Roman" w:cs="Times New Roman"/>
          <w:b/>
          <w:sz w:val="24"/>
          <w:szCs w:val="24"/>
        </w:rPr>
      </w:pPr>
    </w:p>
    <w:p w:rsidR="00C6573C" w:rsidRDefault="00C6573C" w:rsidP="00C6573C">
      <w:pPr>
        <w:jc w:val="center"/>
        <w:rPr>
          <w:rFonts w:ascii="Times New Roman" w:hAnsi="Times New Roman" w:cs="Times New Roman"/>
          <w:b/>
          <w:sz w:val="24"/>
          <w:szCs w:val="24"/>
        </w:rPr>
      </w:pPr>
    </w:p>
    <w:p w:rsidR="00C6573C" w:rsidRDefault="00C6573C" w:rsidP="00C6573C">
      <w:pPr>
        <w:jc w:val="center"/>
        <w:rPr>
          <w:rFonts w:ascii="Times New Roman" w:hAnsi="Times New Roman" w:cs="Times New Roman"/>
          <w:b/>
          <w:sz w:val="24"/>
          <w:szCs w:val="24"/>
        </w:rPr>
      </w:pPr>
    </w:p>
    <w:p w:rsidR="00C6573C" w:rsidRDefault="00C6573C" w:rsidP="00C6573C">
      <w:pPr>
        <w:jc w:val="center"/>
        <w:rPr>
          <w:rFonts w:ascii="Times New Roman" w:hAnsi="Times New Roman" w:cs="Times New Roman"/>
          <w:b/>
          <w:sz w:val="24"/>
          <w:szCs w:val="24"/>
        </w:rPr>
      </w:pPr>
    </w:p>
    <w:p w:rsidR="00C6573C" w:rsidRDefault="00C6573C" w:rsidP="00C6573C">
      <w:pPr>
        <w:jc w:val="center"/>
        <w:rPr>
          <w:rFonts w:ascii="Times New Roman" w:hAnsi="Times New Roman" w:cs="Times New Roman"/>
          <w:b/>
          <w:sz w:val="24"/>
          <w:szCs w:val="24"/>
        </w:rPr>
      </w:pPr>
    </w:p>
    <w:p w:rsidR="00500082" w:rsidRDefault="00500082" w:rsidP="00500082">
      <w:pPr>
        <w:rPr>
          <w:rFonts w:ascii="Times New Roman" w:hAnsi="Times New Roman" w:cs="Times New Roman"/>
          <w:b/>
          <w:sz w:val="24"/>
          <w:szCs w:val="24"/>
        </w:rPr>
      </w:pPr>
    </w:p>
    <w:p w:rsidR="00C6573C" w:rsidRDefault="00C6573C" w:rsidP="00500082">
      <w:pPr>
        <w:jc w:val="center"/>
        <w:rPr>
          <w:rFonts w:ascii="Times New Roman" w:hAnsi="Times New Roman" w:cs="Times New Roman"/>
          <w:b/>
          <w:sz w:val="24"/>
          <w:szCs w:val="24"/>
        </w:rPr>
      </w:pPr>
      <w:r w:rsidRPr="005A4E85">
        <w:rPr>
          <w:rFonts w:ascii="Times New Roman" w:hAnsi="Times New Roman" w:cs="Times New Roman"/>
          <w:b/>
          <w:sz w:val="24"/>
          <w:szCs w:val="24"/>
        </w:rPr>
        <w:lastRenderedPageBreak/>
        <w:t xml:space="preserve">Figura </w:t>
      </w:r>
      <w:r>
        <w:rPr>
          <w:rFonts w:ascii="Times New Roman" w:hAnsi="Times New Roman" w:cs="Times New Roman"/>
          <w:b/>
          <w:sz w:val="24"/>
          <w:szCs w:val="24"/>
        </w:rPr>
        <w:t>5</w:t>
      </w:r>
      <w:r w:rsidRPr="005A4E85">
        <w:rPr>
          <w:rFonts w:ascii="Times New Roman" w:hAnsi="Times New Roman" w:cs="Times New Roman"/>
          <w:b/>
          <w:sz w:val="24"/>
          <w:szCs w:val="24"/>
        </w:rPr>
        <w:t>. Biorrefinaria lignocelulósica: produtos da hemicelulose</w:t>
      </w:r>
      <w:bookmarkEnd w:id="86"/>
      <w:bookmarkEnd w:id="87"/>
    </w:p>
    <w:p w:rsidR="00C6573C" w:rsidRDefault="00C6573C" w:rsidP="00C6573C">
      <w:pPr>
        <w:jc w:val="center"/>
        <w:rPr>
          <w:rFonts w:ascii="Times New Roman" w:hAnsi="Times New Roman" w:cs="Times New Roman"/>
          <w:b/>
          <w:sz w:val="24"/>
          <w:szCs w:val="24"/>
        </w:rPr>
      </w:pPr>
    </w:p>
    <w:p w:rsidR="003D61A0" w:rsidRPr="005A4E85" w:rsidRDefault="003D61A0" w:rsidP="00C6573C">
      <w:pPr>
        <w:jc w:val="center"/>
        <w:rPr>
          <w:rFonts w:ascii="Times New Roman" w:hAnsi="Times New Roman" w:cs="Times New Roman"/>
          <w:b/>
          <w:sz w:val="24"/>
          <w:szCs w:val="24"/>
        </w:rPr>
      </w:pP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5400040" cy="3482784"/>
            <wp:effectExtent l="19050" t="0" r="0" b="0"/>
            <wp:docPr id="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5400040" cy="3482784"/>
                    </a:xfrm>
                    <a:prstGeom prst="rect">
                      <a:avLst/>
                    </a:prstGeom>
                    <a:noFill/>
                    <a:ln w="9525">
                      <a:noFill/>
                      <a:miter lim="800000"/>
                      <a:headEnd/>
                      <a:tailEnd/>
                    </a:ln>
                  </pic:spPr>
                </pic:pic>
              </a:graphicData>
            </a:graphic>
          </wp:inline>
        </w:drawing>
      </w:r>
    </w:p>
    <w:p w:rsidR="00C6573C" w:rsidRDefault="00C6573C" w:rsidP="00C6573C">
      <w:pPr>
        <w:spacing w:line="360" w:lineRule="auto"/>
        <w:ind w:firstLine="708"/>
        <w:rPr>
          <w:rFonts w:ascii="Times New Roman" w:hAnsi="Times New Roman" w:cs="Times New Roman"/>
          <w:sz w:val="20"/>
          <w:szCs w:val="20"/>
        </w:rPr>
      </w:pPr>
    </w:p>
    <w:p w:rsidR="00C6573C" w:rsidRPr="005A4E85" w:rsidRDefault="00C6573C" w:rsidP="00C6573C">
      <w:pPr>
        <w:spacing w:line="360" w:lineRule="auto"/>
        <w:ind w:firstLine="708"/>
        <w:outlineLvl w:val="0"/>
        <w:rPr>
          <w:rFonts w:ascii="Times New Roman" w:hAnsi="Times New Roman" w:cs="Times New Roman"/>
          <w:sz w:val="20"/>
          <w:szCs w:val="20"/>
        </w:rPr>
      </w:pPr>
      <w:bookmarkStart w:id="88" w:name="_Toc330505782"/>
      <w:bookmarkStart w:id="89" w:name="_Toc330506362"/>
      <w:bookmarkStart w:id="90" w:name="_Toc331848326"/>
      <w:bookmarkStart w:id="91" w:name="_Toc331848534"/>
      <w:bookmarkStart w:id="92" w:name="_Toc332018608"/>
      <w:bookmarkStart w:id="93" w:name="_Toc333911359"/>
      <w:r w:rsidRPr="005A4E85">
        <w:rPr>
          <w:rFonts w:ascii="Times New Roman" w:hAnsi="Times New Roman" w:cs="Times New Roman"/>
          <w:sz w:val="20"/>
          <w:szCs w:val="20"/>
        </w:rPr>
        <w:t>Fonte: Pereira Jr. et al., 2008 apud CGEE (2010)</w:t>
      </w:r>
      <w:bookmarkEnd w:id="88"/>
      <w:bookmarkEnd w:id="89"/>
      <w:bookmarkEnd w:id="90"/>
      <w:bookmarkEnd w:id="91"/>
      <w:bookmarkEnd w:id="92"/>
      <w:bookmarkEnd w:id="93"/>
    </w:p>
    <w:p w:rsidR="00C6573C" w:rsidRDefault="00C6573C" w:rsidP="00C6573C">
      <w:pPr>
        <w:spacing w:line="360" w:lineRule="auto"/>
        <w:ind w:firstLine="709"/>
        <w:rPr>
          <w:rFonts w:ascii="Times New Roman" w:hAnsi="Times New Roman" w:cs="Times New Roman"/>
          <w:sz w:val="24"/>
          <w:szCs w:val="24"/>
        </w:rPr>
      </w:pPr>
    </w:p>
    <w:p w:rsidR="00C6573C" w:rsidRPr="000E6F07" w:rsidRDefault="00C6573C" w:rsidP="00C6573C">
      <w:pPr>
        <w:spacing w:line="360" w:lineRule="auto"/>
        <w:ind w:firstLine="709"/>
        <w:rPr>
          <w:rFonts w:ascii="Times New Roman" w:hAnsi="Times New Roman" w:cs="Times New Roman"/>
          <w:sz w:val="24"/>
          <w:szCs w:val="24"/>
        </w:rPr>
      </w:pPr>
      <w:r w:rsidRPr="00A23643">
        <w:rPr>
          <w:rFonts w:ascii="Times New Roman" w:hAnsi="Times New Roman" w:cs="Times New Roman"/>
          <w:sz w:val="24"/>
          <w:szCs w:val="24"/>
        </w:rPr>
        <w:t>As biorreﬁnarias</w:t>
      </w:r>
      <w:r>
        <w:rPr>
          <w:rFonts w:ascii="Times New Roman" w:hAnsi="Times New Roman" w:cs="Times New Roman"/>
          <w:sz w:val="24"/>
          <w:szCs w:val="24"/>
        </w:rPr>
        <w:t xml:space="preserve"> deverão incorporar coprodutos dos açúcares, aproveitando a signiﬁcativa expansão d</w:t>
      </w:r>
      <w:r w:rsidRPr="00430805">
        <w:rPr>
          <w:rFonts w:ascii="Times New Roman" w:hAnsi="Times New Roman" w:cs="Times New Roman"/>
          <w:sz w:val="24"/>
          <w:szCs w:val="24"/>
        </w:rPr>
        <w:t xml:space="preserve">a demanda de produtos da sacarose </w:t>
      </w:r>
      <w:r>
        <w:rPr>
          <w:rFonts w:ascii="Times New Roman" w:hAnsi="Times New Roman" w:cs="Times New Roman"/>
          <w:sz w:val="24"/>
          <w:szCs w:val="24"/>
        </w:rPr>
        <w:t>nos últimos anos. Entre eles, encontram-se a</w:t>
      </w:r>
      <w:r w:rsidRPr="00430805">
        <w:rPr>
          <w:rFonts w:ascii="Times New Roman" w:hAnsi="Times New Roman" w:cs="Times New Roman"/>
          <w:sz w:val="24"/>
          <w:szCs w:val="24"/>
        </w:rPr>
        <w:t>doçantes (</w:t>
      </w:r>
      <w:r>
        <w:rPr>
          <w:rFonts w:ascii="Times New Roman" w:hAnsi="Times New Roman" w:cs="Times New Roman"/>
          <w:sz w:val="24"/>
          <w:szCs w:val="24"/>
        </w:rPr>
        <w:t>frutose, glucose, polióis), ác</w:t>
      </w:r>
      <w:r w:rsidRPr="00430805">
        <w:rPr>
          <w:rFonts w:ascii="Times New Roman" w:hAnsi="Times New Roman" w:cs="Times New Roman"/>
          <w:sz w:val="24"/>
          <w:szCs w:val="24"/>
        </w:rPr>
        <w:t>idos orgânicos (cítrico</w:t>
      </w:r>
      <w:r>
        <w:rPr>
          <w:rFonts w:ascii="Times New Roman" w:hAnsi="Times New Roman" w:cs="Times New Roman"/>
          <w:sz w:val="24"/>
          <w:szCs w:val="24"/>
        </w:rPr>
        <w:t>, glucônico, lático, ascórbico) que são</w:t>
      </w:r>
      <w:r w:rsidRPr="00430805">
        <w:rPr>
          <w:rFonts w:ascii="Times New Roman" w:hAnsi="Times New Roman" w:cs="Times New Roman"/>
          <w:sz w:val="24"/>
          <w:szCs w:val="24"/>
        </w:rPr>
        <w:t xml:space="preserve"> empregados na indústria alimentar e </w:t>
      </w:r>
      <w:r>
        <w:rPr>
          <w:rFonts w:ascii="Times New Roman" w:hAnsi="Times New Roman" w:cs="Times New Roman"/>
          <w:sz w:val="24"/>
          <w:szCs w:val="24"/>
        </w:rPr>
        <w:t>farmacêutica, a</w:t>
      </w:r>
      <w:r w:rsidRPr="00430805">
        <w:rPr>
          <w:rFonts w:ascii="Times New Roman" w:hAnsi="Times New Roman" w:cs="Times New Roman"/>
          <w:sz w:val="24"/>
          <w:szCs w:val="24"/>
        </w:rPr>
        <w:t>min</w:t>
      </w:r>
      <w:r>
        <w:rPr>
          <w:rFonts w:ascii="Times New Roman" w:hAnsi="Times New Roman" w:cs="Times New Roman"/>
          <w:sz w:val="24"/>
          <w:szCs w:val="24"/>
        </w:rPr>
        <w:t>oácidos</w:t>
      </w:r>
      <w:r w:rsidRPr="00430805">
        <w:rPr>
          <w:rFonts w:ascii="Times New Roman" w:hAnsi="Times New Roman" w:cs="Times New Roman"/>
          <w:sz w:val="24"/>
          <w:szCs w:val="24"/>
        </w:rPr>
        <w:t xml:space="preserve"> </w:t>
      </w:r>
      <w:r>
        <w:rPr>
          <w:rFonts w:ascii="Times New Roman" w:hAnsi="Times New Roman" w:cs="Times New Roman"/>
          <w:sz w:val="24"/>
          <w:szCs w:val="24"/>
        </w:rPr>
        <w:t>(</w:t>
      </w:r>
      <w:r w:rsidRPr="00430805">
        <w:rPr>
          <w:rFonts w:ascii="Times New Roman" w:hAnsi="Times New Roman" w:cs="Times New Roman"/>
          <w:sz w:val="24"/>
          <w:szCs w:val="24"/>
        </w:rPr>
        <w:t>utilizados basicamente para alimentação animal</w:t>
      </w:r>
      <w:r>
        <w:rPr>
          <w:rFonts w:ascii="Times New Roman" w:hAnsi="Times New Roman" w:cs="Times New Roman"/>
          <w:sz w:val="24"/>
          <w:szCs w:val="24"/>
        </w:rPr>
        <w:t xml:space="preserve">), e </w:t>
      </w:r>
      <w:r w:rsidRPr="00430805">
        <w:rPr>
          <w:rFonts w:ascii="Times New Roman" w:hAnsi="Times New Roman" w:cs="Times New Roman"/>
          <w:sz w:val="24"/>
          <w:szCs w:val="24"/>
        </w:rPr>
        <w:t xml:space="preserve">compostos como </w:t>
      </w:r>
      <w:r>
        <w:rPr>
          <w:rFonts w:ascii="Times New Roman" w:hAnsi="Times New Roman" w:cs="Times New Roman"/>
          <w:sz w:val="24"/>
          <w:szCs w:val="24"/>
        </w:rPr>
        <w:t xml:space="preserve">glicerol e sorbitol, </w:t>
      </w:r>
      <w:r w:rsidRPr="00430805">
        <w:rPr>
          <w:rFonts w:ascii="Times New Roman" w:hAnsi="Times New Roman" w:cs="Times New Roman"/>
          <w:sz w:val="24"/>
          <w:szCs w:val="24"/>
        </w:rPr>
        <w:t>utiliza</w:t>
      </w:r>
      <w:r>
        <w:rPr>
          <w:rFonts w:ascii="Times New Roman" w:hAnsi="Times New Roman" w:cs="Times New Roman"/>
          <w:sz w:val="24"/>
          <w:szCs w:val="24"/>
        </w:rPr>
        <w:t>dos</w:t>
      </w:r>
      <w:r w:rsidRPr="00430805">
        <w:rPr>
          <w:rFonts w:ascii="Times New Roman" w:hAnsi="Times New Roman" w:cs="Times New Roman"/>
          <w:sz w:val="24"/>
          <w:szCs w:val="24"/>
        </w:rPr>
        <w:t xml:space="preserve"> na in</w:t>
      </w:r>
      <w:r>
        <w:rPr>
          <w:rFonts w:ascii="Times New Roman" w:hAnsi="Times New Roman" w:cs="Times New Roman"/>
          <w:sz w:val="24"/>
          <w:szCs w:val="24"/>
        </w:rPr>
        <w:t>dústria química e de alimentos (MACEDO, 2007).</w:t>
      </w:r>
    </w:p>
    <w:p w:rsidR="00C6573C" w:rsidRDefault="00C6573C" w:rsidP="00C6573C">
      <w:pPr>
        <w:spacing w:line="360" w:lineRule="auto"/>
        <w:ind w:firstLine="709"/>
        <w:jc w:val="center"/>
        <w:rPr>
          <w:rFonts w:ascii="Times New Roman" w:hAnsi="Times New Roman" w:cs="Times New Roman"/>
          <w:b/>
          <w:sz w:val="24"/>
          <w:szCs w:val="24"/>
        </w:rPr>
      </w:pPr>
    </w:p>
    <w:p w:rsidR="003D61A0" w:rsidRDefault="003D61A0" w:rsidP="003D61A0">
      <w:pPr>
        <w:rPr>
          <w:rFonts w:ascii="Times New Roman" w:hAnsi="Times New Roman" w:cs="Times New Roman"/>
          <w:b/>
          <w:sz w:val="24"/>
          <w:szCs w:val="24"/>
        </w:rPr>
      </w:pPr>
      <w:bookmarkStart w:id="94" w:name="_Toc330505783"/>
      <w:bookmarkStart w:id="95" w:name="_Toc330506363"/>
    </w:p>
    <w:p w:rsidR="003D61A0" w:rsidRDefault="003D61A0" w:rsidP="003D61A0">
      <w:pPr>
        <w:rPr>
          <w:rFonts w:ascii="Times New Roman" w:hAnsi="Times New Roman" w:cs="Times New Roman"/>
          <w:b/>
          <w:sz w:val="24"/>
          <w:szCs w:val="24"/>
        </w:rPr>
      </w:pPr>
    </w:p>
    <w:p w:rsidR="003D61A0" w:rsidRDefault="003D61A0" w:rsidP="003D61A0">
      <w:pPr>
        <w:rPr>
          <w:rFonts w:ascii="Times New Roman" w:hAnsi="Times New Roman" w:cs="Times New Roman"/>
          <w:b/>
          <w:sz w:val="24"/>
          <w:szCs w:val="24"/>
        </w:rPr>
      </w:pPr>
    </w:p>
    <w:p w:rsidR="003D61A0" w:rsidRDefault="003D61A0" w:rsidP="003D61A0">
      <w:pPr>
        <w:rPr>
          <w:rFonts w:ascii="Times New Roman" w:hAnsi="Times New Roman" w:cs="Times New Roman"/>
          <w:b/>
          <w:sz w:val="24"/>
          <w:szCs w:val="24"/>
        </w:rPr>
      </w:pPr>
    </w:p>
    <w:p w:rsidR="003D61A0" w:rsidRDefault="003D61A0" w:rsidP="003D61A0">
      <w:pPr>
        <w:rPr>
          <w:rFonts w:ascii="Times New Roman" w:hAnsi="Times New Roman" w:cs="Times New Roman"/>
          <w:b/>
          <w:sz w:val="24"/>
          <w:szCs w:val="24"/>
        </w:rPr>
      </w:pPr>
    </w:p>
    <w:p w:rsidR="003D61A0" w:rsidRDefault="003D61A0" w:rsidP="003D61A0">
      <w:pPr>
        <w:rPr>
          <w:rFonts w:ascii="Times New Roman" w:hAnsi="Times New Roman" w:cs="Times New Roman"/>
          <w:b/>
          <w:sz w:val="24"/>
          <w:szCs w:val="24"/>
        </w:rPr>
      </w:pPr>
    </w:p>
    <w:p w:rsidR="003D61A0" w:rsidRDefault="003D61A0" w:rsidP="003D61A0">
      <w:pPr>
        <w:rPr>
          <w:rFonts w:ascii="Times New Roman" w:hAnsi="Times New Roman" w:cs="Times New Roman"/>
          <w:b/>
          <w:sz w:val="24"/>
          <w:szCs w:val="24"/>
        </w:rPr>
      </w:pPr>
    </w:p>
    <w:p w:rsidR="003D61A0" w:rsidRDefault="003D61A0" w:rsidP="003D61A0">
      <w:pPr>
        <w:rPr>
          <w:rFonts w:ascii="Times New Roman" w:hAnsi="Times New Roman" w:cs="Times New Roman"/>
          <w:b/>
          <w:sz w:val="24"/>
          <w:szCs w:val="24"/>
        </w:rPr>
      </w:pPr>
    </w:p>
    <w:p w:rsidR="003D61A0" w:rsidRDefault="003D61A0" w:rsidP="003D61A0">
      <w:pPr>
        <w:rPr>
          <w:rFonts w:ascii="Times New Roman" w:hAnsi="Times New Roman" w:cs="Times New Roman"/>
          <w:b/>
          <w:sz w:val="24"/>
          <w:szCs w:val="24"/>
        </w:rPr>
      </w:pPr>
    </w:p>
    <w:p w:rsidR="003D61A0" w:rsidRDefault="003D61A0" w:rsidP="003D61A0">
      <w:pPr>
        <w:rPr>
          <w:rFonts w:ascii="Times New Roman" w:hAnsi="Times New Roman" w:cs="Times New Roman"/>
          <w:b/>
          <w:sz w:val="24"/>
          <w:szCs w:val="24"/>
        </w:rPr>
      </w:pPr>
    </w:p>
    <w:p w:rsidR="003D61A0" w:rsidRDefault="003D61A0" w:rsidP="003D61A0">
      <w:pPr>
        <w:rPr>
          <w:rFonts w:ascii="Times New Roman" w:hAnsi="Times New Roman" w:cs="Times New Roman"/>
          <w:b/>
          <w:sz w:val="24"/>
          <w:szCs w:val="24"/>
        </w:rPr>
      </w:pPr>
    </w:p>
    <w:p w:rsidR="003D61A0" w:rsidRDefault="003D61A0" w:rsidP="003D61A0">
      <w:pPr>
        <w:rPr>
          <w:rFonts w:ascii="Times New Roman" w:hAnsi="Times New Roman" w:cs="Times New Roman"/>
          <w:b/>
          <w:sz w:val="24"/>
          <w:szCs w:val="24"/>
        </w:rPr>
      </w:pPr>
    </w:p>
    <w:p w:rsidR="00C6573C" w:rsidRDefault="00C6573C" w:rsidP="003D61A0">
      <w:pPr>
        <w:jc w:val="center"/>
        <w:rPr>
          <w:rFonts w:ascii="Times New Roman" w:hAnsi="Times New Roman" w:cs="Times New Roman"/>
          <w:b/>
          <w:sz w:val="24"/>
          <w:szCs w:val="24"/>
        </w:rPr>
      </w:pPr>
      <w:r w:rsidRPr="005A4E85">
        <w:rPr>
          <w:rFonts w:ascii="Times New Roman" w:hAnsi="Times New Roman" w:cs="Times New Roman"/>
          <w:b/>
          <w:sz w:val="24"/>
          <w:szCs w:val="24"/>
        </w:rPr>
        <w:lastRenderedPageBreak/>
        <w:t xml:space="preserve">Figura </w:t>
      </w:r>
      <w:r>
        <w:rPr>
          <w:rFonts w:ascii="Times New Roman" w:hAnsi="Times New Roman" w:cs="Times New Roman"/>
          <w:b/>
          <w:sz w:val="24"/>
          <w:szCs w:val="24"/>
        </w:rPr>
        <w:t>6</w:t>
      </w:r>
      <w:r w:rsidRPr="005A4E85">
        <w:rPr>
          <w:rFonts w:ascii="Times New Roman" w:hAnsi="Times New Roman" w:cs="Times New Roman"/>
          <w:b/>
          <w:sz w:val="24"/>
          <w:szCs w:val="24"/>
        </w:rPr>
        <w:t>. Biorrefinaria lignocelulósica: produtos da lignina</w:t>
      </w:r>
      <w:bookmarkEnd w:id="94"/>
      <w:bookmarkEnd w:id="95"/>
    </w:p>
    <w:p w:rsidR="003D61A0" w:rsidRDefault="003D61A0" w:rsidP="00C6573C">
      <w:pPr>
        <w:spacing w:line="360" w:lineRule="auto"/>
        <w:ind w:firstLine="709"/>
        <w:jc w:val="center"/>
        <w:outlineLvl w:val="0"/>
        <w:rPr>
          <w:rFonts w:ascii="Times New Roman" w:hAnsi="Times New Roman" w:cs="Times New Roman"/>
          <w:b/>
          <w:sz w:val="24"/>
          <w:szCs w:val="24"/>
        </w:rPr>
      </w:pPr>
    </w:p>
    <w:p w:rsidR="003D61A0" w:rsidRPr="005A4E85" w:rsidRDefault="003D61A0" w:rsidP="00C6573C">
      <w:pPr>
        <w:spacing w:line="360" w:lineRule="auto"/>
        <w:ind w:firstLine="709"/>
        <w:jc w:val="center"/>
        <w:outlineLvl w:val="0"/>
        <w:rPr>
          <w:rFonts w:ascii="Times New Roman" w:hAnsi="Times New Roman" w:cs="Times New Roman"/>
          <w:b/>
          <w:sz w:val="24"/>
          <w:szCs w:val="24"/>
        </w:rPr>
      </w:pPr>
    </w:p>
    <w:p w:rsidR="00C6573C" w:rsidRDefault="00C6573C" w:rsidP="00C6573C">
      <w:pPr>
        <w:spacing w:line="360" w:lineRule="auto"/>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5400040" cy="2488120"/>
            <wp:effectExtent l="19050" t="0" r="0" b="0"/>
            <wp:docPr id="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5400040" cy="2488120"/>
                    </a:xfrm>
                    <a:prstGeom prst="rect">
                      <a:avLst/>
                    </a:prstGeom>
                    <a:noFill/>
                    <a:ln w="9525">
                      <a:noFill/>
                      <a:miter lim="800000"/>
                      <a:headEnd/>
                      <a:tailEnd/>
                    </a:ln>
                  </pic:spPr>
                </pic:pic>
              </a:graphicData>
            </a:graphic>
          </wp:inline>
        </w:drawing>
      </w:r>
    </w:p>
    <w:p w:rsidR="00C6573C" w:rsidRDefault="00C6573C" w:rsidP="00C6573C">
      <w:pPr>
        <w:spacing w:line="360" w:lineRule="auto"/>
        <w:ind w:firstLine="709"/>
        <w:rPr>
          <w:rFonts w:ascii="Times New Roman" w:hAnsi="Times New Roman" w:cs="Times New Roman"/>
          <w:sz w:val="20"/>
          <w:szCs w:val="20"/>
        </w:rPr>
      </w:pPr>
    </w:p>
    <w:p w:rsidR="00C6573C" w:rsidRPr="005A4E85" w:rsidRDefault="00C6573C" w:rsidP="00C6573C">
      <w:pPr>
        <w:spacing w:line="360" w:lineRule="auto"/>
        <w:ind w:firstLine="709"/>
        <w:outlineLvl w:val="0"/>
        <w:rPr>
          <w:rFonts w:ascii="Times New Roman" w:hAnsi="Times New Roman" w:cs="Times New Roman"/>
          <w:sz w:val="20"/>
          <w:szCs w:val="20"/>
        </w:rPr>
      </w:pPr>
      <w:bookmarkStart w:id="96" w:name="_Toc330505784"/>
      <w:bookmarkStart w:id="97" w:name="_Toc330506364"/>
      <w:bookmarkStart w:id="98" w:name="_Toc331848327"/>
      <w:bookmarkStart w:id="99" w:name="_Toc331848535"/>
      <w:bookmarkStart w:id="100" w:name="_Toc332018609"/>
      <w:bookmarkStart w:id="101" w:name="_Toc333911360"/>
      <w:r w:rsidRPr="005A4E85">
        <w:rPr>
          <w:rFonts w:ascii="Times New Roman" w:hAnsi="Times New Roman" w:cs="Times New Roman"/>
          <w:sz w:val="20"/>
          <w:szCs w:val="20"/>
        </w:rPr>
        <w:t>Fonte: Pereira Jr. et al., 2008 apud CGEE (2010)</w:t>
      </w:r>
      <w:bookmarkEnd w:id="96"/>
      <w:bookmarkEnd w:id="97"/>
      <w:bookmarkEnd w:id="98"/>
      <w:bookmarkEnd w:id="99"/>
      <w:bookmarkEnd w:id="100"/>
      <w:bookmarkEnd w:id="101"/>
    </w:p>
    <w:p w:rsidR="00C6573C" w:rsidRDefault="00C6573C" w:rsidP="00C6573C">
      <w:pPr>
        <w:spacing w:line="360" w:lineRule="auto"/>
        <w:ind w:firstLine="709"/>
        <w:rPr>
          <w:rFonts w:ascii="Times New Roman" w:hAnsi="Times New Roman" w:cs="Times New Roman"/>
          <w:sz w:val="24"/>
          <w:szCs w:val="24"/>
        </w:rPr>
      </w:pPr>
    </w:p>
    <w:p w:rsidR="00C6573C" w:rsidRDefault="00C6573C" w:rsidP="00C6573C">
      <w:pPr>
        <w:spacing w:line="360" w:lineRule="auto"/>
        <w:ind w:firstLine="709"/>
        <w:rPr>
          <w:rFonts w:ascii="Times New Roman" w:hAnsi="Times New Roman" w:cs="Times New Roman"/>
          <w:sz w:val="24"/>
          <w:szCs w:val="24"/>
        </w:rPr>
      </w:pPr>
      <w:r>
        <w:rPr>
          <w:rFonts w:ascii="Times New Roman" w:hAnsi="Times New Roman" w:cs="Times New Roman"/>
          <w:sz w:val="24"/>
          <w:szCs w:val="24"/>
        </w:rPr>
        <w:t>Um le</w:t>
      </w:r>
      <w:r w:rsidR="007A20D0">
        <w:rPr>
          <w:rFonts w:ascii="Times New Roman" w:hAnsi="Times New Roman" w:cs="Times New Roman"/>
          <w:sz w:val="24"/>
          <w:szCs w:val="24"/>
        </w:rPr>
        <w:t>vantamento realizado pelo SEBRAE</w:t>
      </w:r>
      <w:r>
        <w:rPr>
          <w:rFonts w:ascii="Times New Roman" w:hAnsi="Times New Roman" w:cs="Times New Roman"/>
          <w:sz w:val="24"/>
          <w:szCs w:val="24"/>
        </w:rPr>
        <w:t xml:space="preserve"> identificou diversos potenciais produtos que podem agregar maior valor à cadeia da cana-de-açúcar, destacando inclusive o potencial de produção de fertilizantes e defensivos agrícolas, além de outros cujo uso já é difundido nos setores industrial (tintas, solventes e adesivos) e uso final (fibras têxteis, por exemplo). As famílias de produtos incluem desde os estruturais, como os aglomerados MDF, e alimentos até os fármacos-veterinários, biotecnológicos e químicos (CGEE; BNDES, 2008).</w:t>
      </w:r>
    </w:p>
    <w:p w:rsidR="00C6573C" w:rsidRDefault="00C6573C" w:rsidP="00C6573C">
      <w:pPr>
        <w:spacing w:line="360" w:lineRule="auto"/>
        <w:rPr>
          <w:rFonts w:ascii="Times New Roman" w:hAnsi="Times New Roman" w:cs="Times New Roman"/>
          <w:sz w:val="24"/>
          <w:szCs w:val="24"/>
        </w:rPr>
      </w:pPr>
    </w:p>
    <w:p w:rsidR="00C6573C" w:rsidRPr="00037346" w:rsidRDefault="00740E2A" w:rsidP="00C6573C">
      <w:pPr>
        <w:pStyle w:val="Ttulo2"/>
        <w:rPr>
          <w:szCs w:val="24"/>
        </w:rPr>
      </w:pPr>
      <w:bookmarkStart w:id="102" w:name="_Toc330506365"/>
      <w:bookmarkStart w:id="103" w:name="_Toc333911361"/>
      <w:r>
        <w:rPr>
          <w:szCs w:val="24"/>
        </w:rPr>
        <w:t>2.5</w:t>
      </w:r>
      <w:r w:rsidR="00C6573C" w:rsidRPr="00037346">
        <w:rPr>
          <w:szCs w:val="24"/>
        </w:rPr>
        <w:t>.3 Tendências da nova bioindústria</w:t>
      </w:r>
      <w:bookmarkEnd w:id="102"/>
      <w:bookmarkEnd w:id="103"/>
    </w:p>
    <w:p w:rsidR="00C6573C" w:rsidRPr="00326160" w:rsidRDefault="00C6573C" w:rsidP="00C6573C">
      <w:pPr>
        <w:spacing w:line="360" w:lineRule="auto"/>
        <w:ind w:firstLine="709"/>
        <w:rPr>
          <w:rFonts w:ascii="Times New Roman" w:hAnsi="Times New Roman" w:cs="Times New Roman"/>
          <w:b/>
          <w:sz w:val="24"/>
          <w:szCs w:val="24"/>
        </w:rPr>
      </w:pPr>
    </w:p>
    <w:p w:rsidR="00C6573C" w:rsidRDefault="00C6573C" w:rsidP="00C6573C">
      <w:pPr>
        <w:spacing w:line="360" w:lineRule="auto"/>
        <w:ind w:firstLine="709"/>
        <w:rPr>
          <w:rFonts w:ascii="Times New Roman" w:hAnsi="Times New Roman" w:cs="Times New Roman"/>
          <w:sz w:val="24"/>
          <w:szCs w:val="24"/>
        </w:rPr>
      </w:pPr>
      <w:r w:rsidRPr="00D83541">
        <w:rPr>
          <w:rFonts w:ascii="Times New Roman" w:hAnsi="Times New Roman" w:cs="Times New Roman"/>
          <w:sz w:val="24"/>
          <w:szCs w:val="24"/>
        </w:rPr>
        <w:t>O grande número de</w:t>
      </w:r>
      <w:r>
        <w:rPr>
          <w:rFonts w:ascii="Times New Roman" w:hAnsi="Times New Roman" w:cs="Times New Roman"/>
          <w:sz w:val="24"/>
          <w:szCs w:val="24"/>
        </w:rPr>
        <w:t xml:space="preserve"> projetos impõe incerteza com relação à trajetória que a bioindústria deverá seguir nos próximos anos, ao passo que</w:t>
      </w:r>
      <w:r w:rsidRPr="00D83541">
        <w:rPr>
          <w:rFonts w:ascii="Times New Roman" w:hAnsi="Times New Roman" w:cs="Times New Roman"/>
          <w:sz w:val="24"/>
          <w:szCs w:val="24"/>
        </w:rPr>
        <w:t xml:space="preserve"> atrasos nos projetos anunciados </w:t>
      </w:r>
      <w:r>
        <w:rPr>
          <w:rFonts w:ascii="Times New Roman" w:hAnsi="Times New Roman" w:cs="Times New Roman"/>
          <w:sz w:val="24"/>
          <w:szCs w:val="24"/>
        </w:rPr>
        <w:t xml:space="preserve">tornam impossível a realização de </w:t>
      </w:r>
      <w:r w:rsidRPr="00D83541">
        <w:rPr>
          <w:rFonts w:ascii="Times New Roman" w:hAnsi="Times New Roman" w:cs="Times New Roman"/>
          <w:sz w:val="24"/>
          <w:szCs w:val="24"/>
        </w:rPr>
        <w:t xml:space="preserve">projeções </w:t>
      </w:r>
      <w:r>
        <w:rPr>
          <w:rFonts w:ascii="Times New Roman" w:hAnsi="Times New Roman" w:cs="Times New Roman"/>
          <w:sz w:val="24"/>
          <w:szCs w:val="24"/>
        </w:rPr>
        <w:t>precisas sobre a</w:t>
      </w:r>
      <w:r w:rsidRPr="00D83541">
        <w:rPr>
          <w:rFonts w:ascii="Times New Roman" w:hAnsi="Times New Roman" w:cs="Times New Roman"/>
          <w:sz w:val="24"/>
          <w:szCs w:val="24"/>
        </w:rPr>
        <w:t xml:space="preserve"> produção em escala comercial. A AIE considera que uma contribuição significativa dos biocombustíveis avançados</w:t>
      </w:r>
      <w:r>
        <w:rPr>
          <w:rFonts w:ascii="Times New Roman" w:hAnsi="Times New Roman" w:cs="Times New Roman"/>
          <w:sz w:val="24"/>
          <w:szCs w:val="24"/>
        </w:rPr>
        <w:t>, se atingirem a escala comercial,</w:t>
      </w:r>
      <w:r w:rsidRPr="00D83541">
        <w:rPr>
          <w:rFonts w:ascii="Times New Roman" w:hAnsi="Times New Roman" w:cs="Times New Roman"/>
          <w:sz w:val="24"/>
          <w:szCs w:val="24"/>
        </w:rPr>
        <w:t xml:space="preserve"> só deverá ocorrer depois de 2020 (AIE, 2011</w:t>
      </w:r>
      <w:r w:rsidR="008E46CB">
        <w:rPr>
          <w:rFonts w:ascii="Times New Roman" w:hAnsi="Times New Roman" w:cs="Times New Roman"/>
          <w:sz w:val="24"/>
          <w:szCs w:val="24"/>
        </w:rPr>
        <w:t>a</w:t>
      </w:r>
      <w:r w:rsidRPr="00D83541">
        <w:rPr>
          <w:rFonts w:ascii="Times New Roman" w:hAnsi="Times New Roman" w:cs="Times New Roman"/>
          <w:sz w:val="24"/>
          <w:szCs w:val="24"/>
        </w:rPr>
        <w:t>).</w:t>
      </w: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A despeito dessas incertezas, alguns aspectos têm sido mais evidentes. Ao analisar as características dos projetos em andamento para inovação de biocombustíveis e bioprodutos, bem como a própria política de incentivos norte-americana, Bomtempo (2012) identifica um deslocamento dos objetivos, que antes focavam exclusivamente no etanol celulósico, mas têm se voltado cada vez mais para a produção dos biocombustíveis </w:t>
      </w:r>
      <w:r w:rsidRPr="00B45FDF">
        <w:rPr>
          <w:rFonts w:ascii="Times New Roman" w:hAnsi="Times New Roman" w:cs="Times New Roman"/>
          <w:i/>
          <w:sz w:val="24"/>
          <w:szCs w:val="24"/>
        </w:rPr>
        <w:t>drop in</w:t>
      </w:r>
      <w:r>
        <w:rPr>
          <w:rFonts w:ascii="Times New Roman" w:hAnsi="Times New Roman" w:cs="Times New Roman"/>
          <w:sz w:val="24"/>
          <w:szCs w:val="24"/>
        </w:rPr>
        <w:t xml:space="preserve">. </w:t>
      </w:r>
    </w:p>
    <w:p w:rsidR="00C6573C" w:rsidRDefault="00C6573C" w:rsidP="00C6573C">
      <w:pPr>
        <w:spacing w:line="360" w:lineRule="auto"/>
        <w:ind w:firstLine="708"/>
        <w:rPr>
          <w:rFonts w:ascii="Times New Roman" w:hAnsi="Times New Roman" w:cs="Times New Roman"/>
          <w:sz w:val="24"/>
          <w:szCs w:val="24"/>
        </w:rPr>
      </w:pPr>
      <w:r w:rsidRPr="00A03015">
        <w:rPr>
          <w:rFonts w:ascii="Times New Roman" w:hAnsi="Times New Roman" w:cs="Times New Roman"/>
          <w:sz w:val="24"/>
          <w:szCs w:val="24"/>
        </w:rPr>
        <w:lastRenderedPageBreak/>
        <w:t>Regalbuto (2011) sugere que as medidas adotadas pelos órgãos</w:t>
      </w:r>
      <w:r>
        <w:rPr>
          <w:rFonts w:ascii="Times New Roman" w:hAnsi="Times New Roman" w:cs="Times New Roman"/>
          <w:sz w:val="24"/>
          <w:szCs w:val="24"/>
        </w:rPr>
        <w:t xml:space="preserve"> responsáveis pela execução</w:t>
      </w:r>
      <w:r w:rsidRPr="00A03015">
        <w:rPr>
          <w:rFonts w:ascii="Times New Roman" w:hAnsi="Times New Roman" w:cs="Times New Roman"/>
          <w:sz w:val="24"/>
          <w:szCs w:val="24"/>
        </w:rPr>
        <w:t xml:space="preserve"> da política energética nos Estados Unidos visam a atingir independência energética com uma estratégia composta por dois vetores no setor de transportes. No primeiro deles, a energia solar, eólica e nuclear serão importantes para o atendimento da demanda por eletricidade em veículos leves. Já no segundo, a biomassa deverá ser aproveitada de forma mais eficiente para a produção de biohidrocarbonetos, especialmente diesel e querosene de aviação para atender à demanda de veículos pesados.</w:t>
      </w:r>
      <w:r>
        <w:rPr>
          <w:rFonts w:ascii="Times New Roman" w:hAnsi="Times New Roman" w:cs="Times New Roman"/>
          <w:sz w:val="24"/>
          <w:szCs w:val="24"/>
        </w:rPr>
        <w:t xml:space="preserve"> Nesse sentido, os esforços de P&amp;D deverão ser direcionados à produção de biocombustíveis </w:t>
      </w:r>
      <w:r w:rsidRPr="00A03015">
        <w:rPr>
          <w:rFonts w:ascii="Times New Roman" w:hAnsi="Times New Roman" w:cs="Times New Roman"/>
          <w:i/>
          <w:sz w:val="24"/>
          <w:szCs w:val="24"/>
        </w:rPr>
        <w:t>drop in</w:t>
      </w:r>
      <w:r>
        <w:rPr>
          <w:rFonts w:ascii="Times New Roman" w:hAnsi="Times New Roman" w:cs="Times New Roman"/>
          <w:sz w:val="24"/>
          <w:szCs w:val="24"/>
        </w:rPr>
        <w:t>. As potenciais tecnologias a serem empregadas na produção destes serão discutidas na próxima seção.</w:t>
      </w:r>
    </w:p>
    <w:p w:rsidR="00C6573C" w:rsidRDefault="00C6573C" w:rsidP="00C6573C">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Os biocombustíveis </w:t>
      </w:r>
      <w:r w:rsidRPr="00CD5589">
        <w:rPr>
          <w:rFonts w:ascii="Times New Roman" w:hAnsi="Times New Roman" w:cs="Times New Roman"/>
          <w:i/>
          <w:sz w:val="24"/>
          <w:szCs w:val="24"/>
        </w:rPr>
        <w:t>drop in</w:t>
      </w:r>
      <w:r>
        <w:rPr>
          <w:rFonts w:ascii="Times New Roman" w:hAnsi="Times New Roman" w:cs="Times New Roman"/>
          <w:sz w:val="24"/>
          <w:szCs w:val="24"/>
        </w:rPr>
        <w:t xml:space="preserve"> apresentam</w:t>
      </w:r>
      <w:r w:rsidRPr="00196658">
        <w:rPr>
          <w:rFonts w:ascii="Times New Roman" w:hAnsi="Times New Roman" w:cs="Times New Roman"/>
          <w:sz w:val="24"/>
          <w:szCs w:val="24"/>
        </w:rPr>
        <w:t xml:space="preserve"> características e desempenho similares aos</w:t>
      </w:r>
      <w:r>
        <w:rPr>
          <w:rFonts w:ascii="Times New Roman" w:hAnsi="Times New Roman" w:cs="Times New Roman"/>
          <w:sz w:val="24"/>
          <w:szCs w:val="24"/>
        </w:rPr>
        <w:t xml:space="preserve"> dos combustíveis convencionais e não requerem alterações</w:t>
      </w:r>
      <w:r w:rsidRPr="00196658">
        <w:rPr>
          <w:rFonts w:ascii="Times New Roman" w:hAnsi="Times New Roman" w:cs="Times New Roman"/>
          <w:sz w:val="24"/>
          <w:szCs w:val="24"/>
        </w:rPr>
        <w:t xml:space="preserve"> em motores nem </w:t>
      </w:r>
      <w:r>
        <w:rPr>
          <w:rFonts w:ascii="Times New Roman" w:hAnsi="Times New Roman" w:cs="Times New Roman"/>
          <w:sz w:val="24"/>
          <w:szCs w:val="24"/>
        </w:rPr>
        <w:t>investimentos na</w:t>
      </w:r>
      <w:r w:rsidRPr="00196658">
        <w:rPr>
          <w:rFonts w:ascii="Times New Roman" w:hAnsi="Times New Roman" w:cs="Times New Roman"/>
          <w:sz w:val="24"/>
          <w:szCs w:val="24"/>
        </w:rPr>
        <w:t xml:space="preserve"> infraestrutura já estabelecida para o armazenamento, distribuição e comercialização. </w:t>
      </w:r>
      <w:r>
        <w:rPr>
          <w:rFonts w:ascii="Times New Roman" w:hAnsi="Times New Roman" w:cs="Times New Roman"/>
          <w:sz w:val="24"/>
          <w:szCs w:val="24"/>
        </w:rPr>
        <w:t>A</w:t>
      </w:r>
      <w:r w:rsidRPr="00196658">
        <w:rPr>
          <w:rFonts w:ascii="Times New Roman" w:hAnsi="Times New Roman" w:cs="Times New Roman"/>
          <w:sz w:val="24"/>
          <w:szCs w:val="24"/>
        </w:rPr>
        <w:t xml:space="preserve"> existência de</w:t>
      </w:r>
      <w:r>
        <w:rPr>
          <w:rFonts w:ascii="Times New Roman" w:hAnsi="Times New Roman" w:cs="Times New Roman"/>
          <w:sz w:val="24"/>
          <w:szCs w:val="24"/>
        </w:rPr>
        <w:t>sses</w:t>
      </w:r>
      <w:r w:rsidRPr="00196658">
        <w:rPr>
          <w:rFonts w:ascii="Times New Roman" w:hAnsi="Times New Roman" w:cs="Times New Roman"/>
          <w:sz w:val="24"/>
          <w:szCs w:val="24"/>
        </w:rPr>
        <w:t xml:space="preserve"> ativos complementares</w:t>
      </w:r>
      <w:r>
        <w:rPr>
          <w:rFonts w:ascii="Times New Roman" w:hAnsi="Times New Roman" w:cs="Times New Roman"/>
          <w:sz w:val="24"/>
          <w:szCs w:val="24"/>
        </w:rPr>
        <w:t xml:space="preserve"> favorece</w:t>
      </w:r>
      <w:r w:rsidRPr="00196658">
        <w:rPr>
          <w:rFonts w:ascii="Times New Roman" w:hAnsi="Times New Roman" w:cs="Times New Roman"/>
          <w:sz w:val="24"/>
          <w:szCs w:val="24"/>
        </w:rPr>
        <w:t xml:space="preserve"> a utilização de combustíveis </w:t>
      </w:r>
      <w:r w:rsidRPr="00196658">
        <w:rPr>
          <w:rFonts w:ascii="Times New Roman" w:hAnsi="Times New Roman" w:cs="Times New Roman"/>
          <w:i/>
          <w:sz w:val="24"/>
          <w:szCs w:val="24"/>
        </w:rPr>
        <w:t>drop in</w:t>
      </w:r>
      <w:r w:rsidRPr="00196658">
        <w:rPr>
          <w:rFonts w:ascii="Times New Roman" w:hAnsi="Times New Roman" w:cs="Times New Roman"/>
          <w:sz w:val="24"/>
          <w:szCs w:val="24"/>
        </w:rPr>
        <w:t xml:space="preserve">, em detrimento de biocombustíveis que </w:t>
      </w:r>
      <w:r>
        <w:rPr>
          <w:rFonts w:ascii="Times New Roman" w:hAnsi="Times New Roman" w:cs="Times New Roman"/>
          <w:sz w:val="24"/>
          <w:szCs w:val="24"/>
        </w:rPr>
        <w:t>enfrentam dificuldades de adaptação como o biodiesel e o etanol.</w:t>
      </w:r>
      <w:r w:rsidRPr="00B20EA0">
        <w:rPr>
          <w:rFonts w:ascii="Times New Roman" w:hAnsi="Times New Roman" w:cs="Times New Roman"/>
          <w:sz w:val="24"/>
          <w:szCs w:val="24"/>
        </w:rPr>
        <w:t xml:space="preserve"> </w:t>
      </w:r>
      <w:r>
        <w:rPr>
          <w:rFonts w:ascii="Times New Roman" w:hAnsi="Times New Roman" w:cs="Times New Roman"/>
          <w:sz w:val="24"/>
          <w:szCs w:val="24"/>
        </w:rPr>
        <w:t>Ademais, a introdução do motor elétrico tende a ocupar parte do mercado potencial para o etanol, mas não o de veículos pesados nem o de aviação. De acordo com Bomtempo, “</w:t>
      </w:r>
      <w:r w:rsidRPr="000E71E9">
        <w:rPr>
          <w:rFonts w:ascii="Times New Roman" w:hAnsi="Times New Roman" w:cs="Times New Roman"/>
          <w:sz w:val="24"/>
          <w:szCs w:val="24"/>
        </w:rPr>
        <w:t>explorar a cana de açúcar com foco exclusivo no etanol parece ser cada vez mais uma estratégia de afastamento das posições de liderança da bioindústria do futuro</w:t>
      </w:r>
      <w:r>
        <w:rPr>
          <w:rFonts w:ascii="Times New Roman" w:hAnsi="Times New Roman" w:cs="Times New Roman"/>
          <w:sz w:val="24"/>
          <w:szCs w:val="24"/>
        </w:rPr>
        <w:t>” (BOMTEMPO, 2012)</w:t>
      </w:r>
      <w:r>
        <w:rPr>
          <w:rStyle w:val="Refdenotaderodap"/>
          <w:rFonts w:ascii="Times New Roman" w:hAnsi="Times New Roman" w:cs="Times New Roman"/>
          <w:sz w:val="24"/>
          <w:szCs w:val="24"/>
        </w:rPr>
        <w:footnoteReference w:id="24"/>
      </w:r>
      <w:r>
        <w:rPr>
          <w:rFonts w:ascii="Times New Roman" w:hAnsi="Times New Roman" w:cs="Times New Roman"/>
          <w:sz w:val="24"/>
          <w:szCs w:val="24"/>
        </w:rPr>
        <w:t>.</w:t>
      </w:r>
    </w:p>
    <w:p w:rsidR="00C6573C" w:rsidRPr="00530F63" w:rsidRDefault="00C6573C" w:rsidP="00C6573C">
      <w:pPr>
        <w:spacing w:line="360" w:lineRule="auto"/>
        <w:ind w:firstLine="709"/>
        <w:rPr>
          <w:rFonts w:ascii="Times New Roman" w:hAnsi="Times New Roman" w:cs="Times New Roman"/>
          <w:sz w:val="24"/>
          <w:szCs w:val="24"/>
        </w:rPr>
      </w:pPr>
      <w:r>
        <w:rPr>
          <w:rFonts w:ascii="Times New Roman" w:hAnsi="Times New Roman" w:cs="Times New Roman"/>
          <w:sz w:val="24"/>
          <w:szCs w:val="24"/>
        </w:rPr>
        <w:t>Considerando ainda as amplas possibilidades de coprodutos a serem explorados, pode-se afirmar que as iniciativas de P&amp;D na bioindústria</w:t>
      </w:r>
      <w:r w:rsidRPr="00530F63">
        <w:rPr>
          <w:rFonts w:ascii="Times New Roman" w:hAnsi="Times New Roman" w:cs="Times New Roman"/>
          <w:sz w:val="24"/>
          <w:szCs w:val="24"/>
        </w:rPr>
        <w:t xml:space="preserve"> se afasta</w:t>
      </w:r>
      <w:r>
        <w:rPr>
          <w:rFonts w:ascii="Times New Roman" w:hAnsi="Times New Roman" w:cs="Times New Roman"/>
          <w:sz w:val="24"/>
          <w:szCs w:val="24"/>
        </w:rPr>
        <w:t>m</w:t>
      </w:r>
      <w:r w:rsidRPr="00530F63">
        <w:rPr>
          <w:rFonts w:ascii="Times New Roman" w:hAnsi="Times New Roman" w:cs="Times New Roman"/>
          <w:sz w:val="24"/>
          <w:szCs w:val="24"/>
        </w:rPr>
        <w:t xml:space="preserve"> da estratégia inicial focada nos biocombustíveis convencionais (eta</w:t>
      </w:r>
      <w:r>
        <w:rPr>
          <w:rFonts w:ascii="Times New Roman" w:hAnsi="Times New Roman" w:cs="Times New Roman"/>
          <w:sz w:val="24"/>
          <w:szCs w:val="24"/>
        </w:rPr>
        <w:t>nol e biodiesel) e procuram a diversificação não só de tecnologias, mas também de mercados.</w:t>
      </w:r>
    </w:p>
    <w:p w:rsidR="00C6573C" w:rsidRDefault="00C6573C" w:rsidP="00C6573C">
      <w:pPr>
        <w:spacing w:line="360" w:lineRule="auto"/>
        <w:ind w:firstLine="709"/>
        <w:rPr>
          <w:rFonts w:ascii="Times New Roman" w:hAnsi="Times New Roman" w:cs="Times New Roman"/>
          <w:sz w:val="24"/>
          <w:szCs w:val="24"/>
        </w:rPr>
      </w:pPr>
      <w:r w:rsidRPr="00350593">
        <w:rPr>
          <w:rFonts w:ascii="Times New Roman" w:hAnsi="Times New Roman" w:cs="Times New Roman"/>
          <w:sz w:val="24"/>
          <w:szCs w:val="24"/>
        </w:rPr>
        <w:t>Essa constatação, entretanto, não significa que o etanol deixará de ter relevância.</w:t>
      </w:r>
      <w:r>
        <w:rPr>
          <w:rFonts w:ascii="Times New Roman" w:hAnsi="Times New Roman" w:cs="Times New Roman"/>
          <w:sz w:val="24"/>
          <w:szCs w:val="24"/>
        </w:rPr>
        <w:t xml:space="preserve"> Conforme enfatiza Bomtempo (2012), o recente desaquecimento na produção de etanol é mais uma questão conjuntural, associada à crise financeira internacional, à redução dos investimentos e à quebra de safra, do que reflexo de uma transformação estrutural na indústria sucroalcooleira. O etanol continuará a ser um produto de extrema importância, tanto como combustível quanto como matéria-prima, mas há um espaço enorme a ser preenchido por outros tipos de fonte energética, que requererá esforços expressivos em P&amp;D. Essa tendência é incorporada nas projeções da</w:t>
      </w:r>
      <w:r w:rsidR="007A20D0">
        <w:rPr>
          <w:rFonts w:ascii="Times New Roman" w:hAnsi="Times New Roman" w:cs="Times New Roman"/>
          <w:sz w:val="24"/>
          <w:szCs w:val="24"/>
        </w:rPr>
        <w:t xml:space="preserve"> AIE, como ilustrado no gráfico 4</w:t>
      </w:r>
      <w:r>
        <w:rPr>
          <w:rFonts w:ascii="Times New Roman" w:hAnsi="Times New Roman" w:cs="Times New Roman"/>
          <w:sz w:val="24"/>
          <w:szCs w:val="24"/>
        </w:rPr>
        <w:t>.</w:t>
      </w:r>
    </w:p>
    <w:p w:rsidR="00C6573C" w:rsidRDefault="00C6573C" w:rsidP="00C6573C">
      <w:pPr>
        <w:rPr>
          <w:rFonts w:ascii="Times New Roman" w:hAnsi="Times New Roman" w:cs="Times New Roman"/>
          <w:b/>
          <w:sz w:val="24"/>
          <w:szCs w:val="24"/>
        </w:rPr>
      </w:pPr>
    </w:p>
    <w:p w:rsidR="00C6573C" w:rsidRDefault="007A20D0" w:rsidP="00C6573C">
      <w:pPr>
        <w:jc w:val="center"/>
        <w:rPr>
          <w:rFonts w:ascii="Times New Roman" w:hAnsi="Times New Roman" w:cs="Times New Roman"/>
          <w:b/>
          <w:sz w:val="24"/>
          <w:szCs w:val="24"/>
        </w:rPr>
      </w:pPr>
      <w:r>
        <w:rPr>
          <w:rFonts w:ascii="Times New Roman" w:hAnsi="Times New Roman" w:cs="Times New Roman"/>
          <w:b/>
          <w:sz w:val="24"/>
          <w:szCs w:val="24"/>
        </w:rPr>
        <w:t>Gráfico 4</w:t>
      </w:r>
      <w:r w:rsidR="00C6573C" w:rsidRPr="00E00C3C">
        <w:rPr>
          <w:rFonts w:ascii="Times New Roman" w:hAnsi="Times New Roman" w:cs="Times New Roman"/>
          <w:b/>
          <w:sz w:val="24"/>
          <w:szCs w:val="24"/>
        </w:rPr>
        <w:t xml:space="preserve">. Projeção de produção de biocombustíveis 2010 </w:t>
      </w:r>
      <w:r w:rsidR="00C6573C">
        <w:rPr>
          <w:rFonts w:ascii="Times New Roman" w:hAnsi="Times New Roman" w:cs="Times New Roman"/>
          <w:b/>
          <w:sz w:val="24"/>
          <w:szCs w:val="24"/>
        </w:rPr>
        <w:t>–</w:t>
      </w:r>
      <w:r w:rsidR="00C6573C" w:rsidRPr="00E00C3C">
        <w:rPr>
          <w:rFonts w:ascii="Times New Roman" w:hAnsi="Times New Roman" w:cs="Times New Roman"/>
          <w:b/>
          <w:sz w:val="24"/>
          <w:szCs w:val="24"/>
        </w:rPr>
        <w:t xml:space="preserve"> 2050</w:t>
      </w:r>
    </w:p>
    <w:p w:rsidR="00C6573C" w:rsidRPr="00E00C3C" w:rsidRDefault="00C6573C" w:rsidP="00C6573C">
      <w:pPr>
        <w:jc w:val="center"/>
        <w:rPr>
          <w:rFonts w:ascii="Times New Roman" w:hAnsi="Times New Roman" w:cs="Times New Roman"/>
          <w:b/>
          <w:sz w:val="24"/>
          <w:szCs w:val="24"/>
        </w:rPr>
      </w:pPr>
    </w:p>
    <w:p w:rsidR="00C6573C" w:rsidRDefault="00C6573C" w:rsidP="00C6573C">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5248275" cy="2630473"/>
            <wp:effectExtent l="19050" t="0" r="9525" b="0"/>
            <wp:docPr id="1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251067" cy="2631872"/>
                    </a:xfrm>
                    <a:prstGeom prst="rect">
                      <a:avLst/>
                    </a:prstGeom>
                    <a:noFill/>
                    <a:ln w="9525">
                      <a:noFill/>
                      <a:miter lim="800000"/>
                      <a:headEnd/>
                      <a:tailEnd/>
                    </a:ln>
                  </pic:spPr>
                </pic:pic>
              </a:graphicData>
            </a:graphic>
          </wp:inline>
        </w:drawing>
      </w:r>
    </w:p>
    <w:p w:rsidR="00C6573C" w:rsidRDefault="00C6573C" w:rsidP="00C6573C">
      <w:pPr>
        <w:spacing w:line="360" w:lineRule="auto"/>
        <w:ind w:left="708" w:firstLine="708"/>
        <w:rPr>
          <w:rFonts w:ascii="Times New Roman" w:hAnsi="Times New Roman" w:cs="Times New Roman"/>
          <w:sz w:val="20"/>
          <w:szCs w:val="20"/>
        </w:rPr>
      </w:pPr>
      <w:r w:rsidRPr="00E00C3C">
        <w:rPr>
          <w:rFonts w:ascii="Times New Roman" w:hAnsi="Times New Roman" w:cs="Times New Roman"/>
          <w:sz w:val="20"/>
          <w:szCs w:val="20"/>
        </w:rPr>
        <w:t>Fonte: AIE (2011</w:t>
      </w:r>
      <w:r>
        <w:rPr>
          <w:rFonts w:ascii="Times New Roman" w:hAnsi="Times New Roman" w:cs="Times New Roman"/>
          <w:sz w:val="20"/>
          <w:szCs w:val="20"/>
        </w:rPr>
        <w:t>a</w:t>
      </w:r>
      <w:r w:rsidRPr="00E00C3C">
        <w:rPr>
          <w:rFonts w:ascii="Times New Roman" w:hAnsi="Times New Roman" w:cs="Times New Roman"/>
          <w:sz w:val="20"/>
          <w:szCs w:val="20"/>
        </w:rPr>
        <w:t>)</w:t>
      </w:r>
    </w:p>
    <w:p w:rsidR="00C6573C" w:rsidRDefault="00C6573C" w:rsidP="00C6573C">
      <w:pPr>
        <w:spacing w:line="360" w:lineRule="auto"/>
        <w:ind w:firstLine="708"/>
        <w:rPr>
          <w:rFonts w:ascii="Times New Roman" w:hAnsi="Times New Roman" w:cs="Times New Roman"/>
          <w:sz w:val="24"/>
          <w:szCs w:val="24"/>
        </w:rPr>
      </w:pPr>
    </w:p>
    <w:p w:rsidR="00C6573C" w:rsidRPr="007760E6" w:rsidRDefault="00C6573C" w:rsidP="00C6573C">
      <w:pPr>
        <w:spacing w:line="360" w:lineRule="auto"/>
        <w:ind w:firstLine="708"/>
        <w:rPr>
          <w:rFonts w:ascii="Times New Roman" w:hAnsi="Times New Roman" w:cs="Times New Roman"/>
          <w:sz w:val="24"/>
          <w:szCs w:val="24"/>
        </w:rPr>
      </w:pPr>
      <w:r w:rsidRPr="00BE6EB2">
        <w:rPr>
          <w:rFonts w:ascii="Times New Roman" w:hAnsi="Times New Roman" w:cs="Times New Roman"/>
          <w:sz w:val="24"/>
          <w:szCs w:val="24"/>
        </w:rPr>
        <w:t>O relatório</w:t>
      </w:r>
      <w:r>
        <w:rPr>
          <w:rFonts w:ascii="Times New Roman" w:hAnsi="Times New Roman" w:cs="Times New Roman"/>
          <w:sz w:val="24"/>
          <w:szCs w:val="24"/>
        </w:rPr>
        <w:t xml:space="preserve"> da AIE</w:t>
      </w:r>
      <w:r w:rsidRPr="00BE6EB2">
        <w:rPr>
          <w:rFonts w:ascii="Times New Roman" w:hAnsi="Times New Roman" w:cs="Times New Roman"/>
          <w:sz w:val="24"/>
          <w:szCs w:val="24"/>
        </w:rPr>
        <w:t xml:space="preserve"> reconhece que os menores custos de matéria prima em paí</w:t>
      </w:r>
      <w:r>
        <w:rPr>
          <w:rFonts w:ascii="Times New Roman" w:hAnsi="Times New Roman" w:cs="Times New Roman"/>
          <w:sz w:val="24"/>
          <w:szCs w:val="24"/>
        </w:rPr>
        <w:t>ses em desenvolvimento favorecem a produção dos biocombustíveis convencionais em detrimento dos avançados, que exigem mais investimentos em tecnologia. Na visão da agência, assim que atingirem escala comercial, os avançados gradativamente poderão ocupar mercados tradicionalmente atendidos pelos convencionais.</w:t>
      </w:r>
    </w:p>
    <w:p w:rsidR="00C6573C" w:rsidRDefault="00C6573C" w:rsidP="00C6573C">
      <w:pPr>
        <w:spacing w:line="360" w:lineRule="auto"/>
        <w:ind w:firstLine="709"/>
        <w:rPr>
          <w:rFonts w:ascii="Times New Roman" w:hAnsi="Times New Roman" w:cs="Times New Roman"/>
          <w:sz w:val="24"/>
          <w:szCs w:val="24"/>
        </w:rPr>
      </w:pPr>
      <w:r>
        <w:rPr>
          <w:rFonts w:ascii="Times New Roman" w:hAnsi="Times New Roman" w:cs="Times New Roman"/>
          <w:sz w:val="24"/>
          <w:szCs w:val="24"/>
        </w:rPr>
        <w:t>Nesse mesmo sentido, Macedo (2007) sustenta que as possibilidades de incremento da produtividade e redução dos custos podem ocorrer de formas complementares. No curto prazo, é possível difundir amplamente para todo o setor as tecnologias já disponíveis, bem como as melhores práticas agronômicas, industriais e de gestão. A própria competição interna e os mecanismos de transferência de tecnologia (fabricantes de equipamentos e insumos, institutos de pesquisa e empresas de tecnologia) facilitariam esse processo.</w:t>
      </w:r>
    </w:p>
    <w:p w:rsidR="00C6573C" w:rsidRDefault="00C6573C" w:rsidP="00C6573C">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Já no médio prazo, variedades genéticas e mais produtivas da própria cana-de-açúcar também contribuirão para a redução dos custos de produção. A exploração da produção conjunta de diferentes produtos, que já é observada em muitas usinas, deve se difundir ainda mais. Os coprodutos derivados da sacarose e outros derivados do bagaço e da palha tendem a diversificar a produção, porém somente no longo prazo a utilização eficiente da sacarose permitirá a ocorrência de importantes saltos tecnológicos. </w:t>
      </w:r>
    </w:p>
    <w:p w:rsidR="00C6573C" w:rsidRDefault="00C6573C" w:rsidP="00C6573C">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Por fim, é interessante notar que esses grandes saltos estão associados a tecnologias que transcendem a indústria sucroalcooleira, uma vez que os processos de conversão </w:t>
      </w:r>
      <w:r>
        <w:rPr>
          <w:rFonts w:ascii="Times New Roman" w:hAnsi="Times New Roman" w:cs="Times New Roman"/>
          <w:sz w:val="24"/>
          <w:szCs w:val="24"/>
        </w:rPr>
        <w:lastRenderedPageBreak/>
        <w:t>envolvem uma diversidade de áreas científicas e poderão ser aplicados a diversos tipos de biomassa. As indústrias de base florestal, como a de papel e celulose, por exemplo, também demonstram interesse em usufruir de benefícios semelhantes aos das biorrefinarias ao explorar economias oriundas da produção conjunta de diversos produtos (KARLSSON, 2007 apud CGEE; BNDES, 2008). Isso indica que a bioindústria do futuro terá fronteiras menos definidas, compartilhando mercados com outros setores.</w:t>
      </w:r>
    </w:p>
    <w:p w:rsidR="00C6573C" w:rsidRDefault="00C6573C" w:rsidP="00C6573C"/>
    <w:p w:rsidR="00C6573C" w:rsidRPr="00740E2A" w:rsidRDefault="00740E2A" w:rsidP="00740E2A">
      <w:pPr>
        <w:pStyle w:val="Ttulo2"/>
      </w:pPr>
      <w:bookmarkStart w:id="104" w:name="_Toc330506369"/>
      <w:bookmarkStart w:id="105" w:name="_Toc333911362"/>
      <w:r>
        <w:t>2.6</w:t>
      </w:r>
      <w:r w:rsidR="00C6573C" w:rsidRPr="00740E2A">
        <w:t xml:space="preserve"> Conclusões</w:t>
      </w:r>
      <w:bookmarkEnd w:id="104"/>
      <w:bookmarkEnd w:id="105"/>
    </w:p>
    <w:p w:rsidR="00C6573C" w:rsidRDefault="00C6573C" w:rsidP="00C6573C">
      <w:pPr>
        <w:rPr>
          <w:rFonts w:ascii="Times New Roman" w:hAnsi="Times New Roman" w:cs="Times New Roman"/>
          <w:sz w:val="24"/>
          <w:szCs w:val="24"/>
        </w:rPr>
      </w:pPr>
    </w:p>
    <w:p w:rsidR="00C6573C"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No presente, a tecnologia de produção de etanol mostra ter atingido sua maturidade, com possibilidade de avanços marginais no segmento industrial. Já a produção de biodiesel ainda enfrenta incertezas, sobretudo quanto à matéria-prima mais eficiente, porém, assim como no caso do etanol, dispõe de fácil acesso aos principais avanços tecnológicos por meio da aquisição de máquinas, equipamentos e insumos específicos. O desenvolvimento de biocombustíveis avançados tende a reduzir o papel desse mecanismo de transmissão de tecnologia, valorizando a criação de conhecimento dentro das empresas produtoras, seja de forma autônoma ou cooperativa.</w:t>
      </w:r>
    </w:p>
    <w:p w:rsidR="00C6573C" w:rsidRPr="009F5885" w:rsidRDefault="00C6573C" w:rsidP="00C6573C">
      <w:pPr>
        <w:spacing w:line="360" w:lineRule="auto"/>
        <w:ind w:firstLine="708"/>
        <w:rPr>
          <w:rFonts w:ascii="Times New Roman" w:hAnsi="Times New Roman" w:cs="Times New Roman"/>
          <w:sz w:val="24"/>
          <w:szCs w:val="24"/>
        </w:rPr>
      </w:pPr>
      <w:r w:rsidRPr="009F5885">
        <w:rPr>
          <w:rFonts w:ascii="Times New Roman" w:hAnsi="Times New Roman" w:cs="Times New Roman"/>
          <w:sz w:val="24"/>
          <w:szCs w:val="24"/>
        </w:rPr>
        <w:t xml:space="preserve">Mudanças recentes na indústria sucroalcooleira no Brasil refletem o movimento de concentração decorrente do grande número de fusões e aquisições, de integração vertical da cadeia produtiva, além de uma crescente participação do capital estrangeiro por meio de grandes empresas tradicionais na comercialização de </w:t>
      </w:r>
      <w:r w:rsidRPr="009F5885">
        <w:rPr>
          <w:rFonts w:ascii="Times New Roman" w:hAnsi="Times New Roman" w:cs="Times New Roman"/>
          <w:i/>
          <w:sz w:val="24"/>
          <w:szCs w:val="24"/>
        </w:rPr>
        <w:t>commodities</w:t>
      </w:r>
      <w:r w:rsidRPr="009F5885">
        <w:rPr>
          <w:rFonts w:ascii="Times New Roman" w:hAnsi="Times New Roman" w:cs="Times New Roman"/>
          <w:sz w:val="24"/>
          <w:szCs w:val="24"/>
        </w:rPr>
        <w:t>. Considerando o ambiente de competição internacional, há que se levar em consideração as diversas iniciativas privadas para o desenvolvimento e comercialização de combustíveis renováveis mais eficientes.</w:t>
      </w:r>
    </w:p>
    <w:p w:rsidR="00C6573C" w:rsidRPr="00F13FB3" w:rsidRDefault="00C6573C" w:rsidP="00C6573C">
      <w:pPr>
        <w:spacing w:line="360" w:lineRule="auto"/>
        <w:ind w:firstLine="708"/>
        <w:rPr>
          <w:rFonts w:ascii="Times New Roman" w:hAnsi="Times New Roman" w:cs="Times New Roman"/>
          <w:sz w:val="24"/>
          <w:szCs w:val="24"/>
        </w:rPr>
      </w:pPr>
      <w:r>
        <w:rPr>
          <w:rFonts w:ascii="Times New Roman" w:hAnsi="Times New Roman" w:cs="Times New Roman"/>
          <w:sz w:val="24"/>
          <w:szCs w:val="24"/>
        </w:rPr>
        <w:t>Quanto à dinâmica de inovação, o</w:t>
      </w:r>
      <w:r w:rsidRPr="00F13FB3">
        <w:rPr>
          <w:rFonts w:ascii="Times New Roman" w:hAnsi="Times New Roman" w:cs="Times New Roman"/>
          <w:sz w:val="24"/>
          <w:szCs w:val="24"/>
        </w:rPr>
        <w:t xml:space="preserve">bserva-se claramente a existência de diversas alternativas que podem atender às necessidades de redução de uso da terra, e consequentemente a competição com alimentos, além de maior eficiência energética, contribuindo para a redução de emissões de gases de efeito estufa. O processo de seleção em um ambiente no qual atuam não somente forças econômicas, mas também fatores políticos e institucionais, deverá fazer com que </w:t>
      </w:r>
      <w:r>
        <w:rPr>
          <w:rFonts w:ascii="Times New Roman" w:hAnsi="Times New Roman" w:cs="Times New Roman"/>
          <w:sz w:val="24"/>
          <w:szCs w:val="24"/>
        </w:rPr>
        <w:t>algumas dessas</w:t>
      </w:r>
      <w:r w:rsidRPr="00F13FB3">
        <w:rPr>
          <w:rFonts w:ascii="Times New Roman" w:hAnsi="Times New Roman" w:cs="Times New Roman"/>
          <w:sz w:val="24"/>
          <w:szCs w:val="24"/>
        </w:rPr>
        <w:t xml:space="preserve"> alternativas sejam abandonadas favorecendo a emergência de outras como design dominante. </w:t>
      </w:r>
    </w:p>
    <w:p w:rsidR="00C6573C" w:rsidRDefault="00C6573C" w:rsidP="00C6573C">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A eficiência da bioindústria no futuro</w:t>
      </w:r>
      <w:r w:rsidRPr="000739EC">
        <w:rPr>
          <w:rFonts w:ascii="Times New Roman" w:hAnsi="Times New Roman" w:cs="Times New Roman"/>
          <w:sz w:val="24"/>
          <w:szCs w:val="24"/>
          <w:lang w:val="pt-PT"/>
        </w:rPr>
        <w:t xml:space="preserve"> depende</w:t>
      </w:r>
      <w:r>
        <w:rPr>
          <w:rFonts w:ascii="Times New Roman" w:hAnsi="Times New Roman" w:cs="Times New Roman"/>
          <w:sz w:val="24"/>
          <w:szCs w:val="24"/>
          <w:lang w:val="pt-PT"/>
        </w:rPr>
        <w:t>rá</w:t>
      </w:r>
      <w:r w:rsidRPr="000739EC">
        <w:rPr>
          <w:rFonts w:ascii="Times New Roman" w:hAnsi="Times New Roman" w:cs="Times New Roman"/>
          <w:sz w:val="24"/>
          <w:szCs w:val="24"/>
          <w:lang w:val="pt-PT"/>
        </w:rPr>
        <w:t xml:space="preserve"> das relações que o setor de biocombustíveis conseguir estabelecer com outros setores que possivelmente dependam da biomassa como matéria-prima. As indústrias quími</w:t>
      </w:r>
      <w:r w:rsidR="0097693F">
        <w:rPr>
          <w:rFonts w:ascii="Times New Roman" w:hAnsi="Times New Roman" w:cs="Times New Roman"/>
          <w:sz w:val="24"/>
          <w:szCs w:val="24"/>
          <w:lang w:val="pt-PT"/>
        </w:rPr>
        <w:t>ca, de alimentos e de biotecnologia</w:t>
      </w:r>
      <w:r w:rsidRPr="000739EC">
        <w:rPr>
          <w:rFonts w:ascii="Times New Roman" w:hAnsi="Times New Roman" w:cs="Times New Roman"/>
          <w:sz w:val="24"/>
          <w:szCs w:val="24"/>
          <w:lang w:val="pt-PT"/>
        </w:rPr>
        <w:t xml:space="preserve"> são potenciais parceiras no desenvolviment</w:t>
      </w:r>
      <w:r>
        <w:rPr>
          <w:rFonts w:ascii="Times New Roman" w:hAnsi="Times New Roman" w:cs="Times New Roman"/>
          <w:sz w:val="24"/>
          <w:szCs w:val="24"/>
          <w:lang w:val="pt-PT"/>
        </w:rPr>
        <w:t>o de mercados estáveis para bio</w:t>
      </w:r>
      <w:r w:rsidRPr="000739EC">
        <w:rPr>
          <w:rFonts w:ascii="Times New Roman" w:hAnsi="Times New Roman" w:cs="Times New Roman"/>
          <w:sz w:val="24"/>
          <w:szCs w:val="24"/>
          <w:lang w:val="pt-PT"/>
        </w:rPr>
        <w:t>pro</w:t>
      </w:r>
      <w:r>
        <w:rPr>
          <w:rFonts w:ascii="Times New Roman" w:hAnsi="Times New Roman" w:cs="Times New Roman"/>
          <w:sz w:val="24"/>
          <w:szCs w:val="24"/>
          <w:lang w:val="pt-PT"/>
        </w:rPr>
        <w:t xml:space="preserve">dutos. </w:t>
      </w:r>
    </w:p>
    <w:p w:rsidR="00C6573C" w:rsidRPr="00DB50B7" w:rsidRDefault="00C6573C" w:rsidP="00C6573C">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lastRenderedPageBreak/>
        <w:t>Apesar d</w:t>
      </w:r>
      <w:r w:rsidR="009B62C5">
        <w:rPr>
          <w:rFonts w:ascii="Times New Roman" w:hAnsi="Times New Roman" w:cs="Times New Roman"/>
          <w:sz w:val="24"/>
          <w:szCs w:val="24"/>
          <w:lang w:val="pt-PT"/>
        </w:rPr>
        <w:t xml:space="preserve">e </w:t>
      </w:r>
      <w:r>
        <w:rPr>
          <w:rFonts w:ascii="Times New Roman" w:hAnsi="Times New Roman" w:cs="Times New Roman"/>
          <w:sz w:val="24"/>
          <w:szCs w:val="24"/>
          <w:lang w:val="pt-PT"/>
        </w:rPr>
        <w:t xml:space="preserve">a </w:t>
      </w:r>
      <w:r w:rsidRPr="00DB50B7">
        <w:rPr>
          <w:rFonts w:ascii="Times New Roman" w:hAnsi="Times New Roman" w:cs="Times New Roman"/>
          <w:sz w:val="24"/>
          <w:szCs w:val="24"/>
          <w:lang w:val="pt-PT"/>
        </w:rPr>
        <w:t>ampla utilização de matérias-p</w:t>
      </w:r>
      <w:r>
        <w:rPr>
          <w:rFonts w:ascii="Times New Roman" w:hAnsi="Times New Roman" w:cs="Times New Roman"/>
          <w:sz w:val="24"/>
          <w:szCs w:val="24"/>
          <w:lang w:val="pt-PT"/>
        </w:rPr>
        <w:t>rimas renováveis ​​exigir</w:t>
      </w:r>
      <w:r w:rsidRPr="00DB50B7">
        <w:rPr>
          <w:rFonts w:ascii="Times New Roman" w:hAnsi="Times New Roman" w:cs="Times New Roman"/>
          <w:sz w:val="24"/>
          <w:szCs w:val="24"/>
          <w:lang w:val="pt-PT"/>
        </w:rPr>
        <w:t xml:space="preserve"> um maior desenvolvimento em química </w:t>
      </w:r>
      <w:r>
        <w:rPr>
          <w:rFonts w:ascii="Times New Roman" w:hAnsi="Times New Roman" w:cs="Times New Roman"/>
          <w:sz w:val="24"/>
          <w:szCs w:val="24"/>
          <w:lang w:val="pt-PT"/>
        </w:rPr>
        <w:t>e tecnologia adequado</w:t>
      </w:r>
      <w:r w:rsidRPr="00DB50B7">
        <w:rPr>
          <w:rFonts w:ascii="Times New Roman" w:hAnsi="Times New Roman" w:cs="Times New Roman"/>
          <w:sz w:val="24"/>
          <w:szCs w:val="24"/>
          <w:lang w:val="pt-PT"/>
        </w:rPr>
        <w:t xml:space="preserve"> para o processamento de biomassa</w:t>
      </w:r>
      <w:r>
        <w:rPr>
          <w:rFonts w:ascii="Times New Roman" w:hAnsi="Times New Roman" w:cs="Times New Roman"/>
          <w:sz w:val="24"/>
          <w:szCs w:val="24"/>
          <w:lang w:val="pt-PT"/>
        </w:rPr>
        <w:t>,</w:t>
      </w:r>
      <w:r w:rsidRPr="00DB50B7">
        <w:rPr>
          <w:rFonts w:ascii="Times New Roman" w:hAnsi="Times New Roman" w:cs="Times New Roman"/>
          <w:sz w:val="24"/>
          <w:szCs w:val="24"/>
          <w:lang w:val="pt-PT"/>
        </w:rPr>
        <w:t xml:space="preserve"> mudanças no uso de combustíveis fósseis e matérias-primas renováveis ​​são esperadas na indústria química no</w:t>
      </w:r>
      <w:r>
        <w:rPr>
          <w:rFonts w:ascii="Times New Roman" w:hAnsi="Times New Roman" w:cs="Times New Roman"/>
          <w:sz w:val="24"/>
          <w:szCs w:val="24"/>
          <w:lang w:val="pt-PT"/>
        </w:rPr>
        <w:t xml:space="preserve"> futuro</w:t>
      </w:r>
      <w:r w:rsidRPr="00DB50B7">
        <w:rPr>
          <w:rFonts w:ascii="Times New Roman" w:hAnsi="Times New Roman" w:cs="Times New Roman"/>
          <w:sz w:val="24"/>
          <w:szCs w:val="24"/>
          <w:lang w:val="pt-PT"/>
        </w:rPr>
        <w:t xml:space="preserve">. </w:t>
      </w:r>
      <w:r>
        <w:rPr>
          <w:rFonts w:ascii="Times New Roman" w:hAnsi="Times New Roman" w:cs="Times New Roman"/>
          <w:sz w:val="24"/>
          <w:szCs w:val="24"/>
          <w:lang w:val="pt-PT"/>
        </w:rPr>
        <w:t>Mesmo que o petróleo permaneça</w:t>
      </w:r>
      <w:r w:rsidRPr="00DB50B7">
        <w:rPr>
          <w:rFonts w:ascii="Times New Roman" w:hAnsi="Times New Roman" w:cs="Times New Roman"/>
          <w:sz w:val="24"/>
          <w:szCs w:val="24"/>
          <w:lang w:val="pt-PT"/>
        </w:rPr>
        <w:t xml:space="preserve"> como matéria-prima dominante na indústria química no futuro próximo</w:t>
      </w:r>
      <w:r>
        <w:rPr>
          <w:rFonts w:ascii="Times New Roman" w:hAnsi="Times New Roman" w:cs="Times New Roman"/>
          <w:sz w:val="24"/>
          <w:szCs w:val="24"/>
          <w:lang w:val="pt-PT"/>
        </w:rPr>
        <w:t>,</w:t>
      </w:r>
      <w:r w:rsidRPr="00DB50B7">
        <w:rPr>
          <w:rFonts w:ascii="Times New Roman" w:hAnsi="Times New Roman" w:cs="Times New Roman"/>
          <w:sz w:val="24"/>
          <w:szCs w:val="24"/>
          <w:lang w:val="pt-PT"/>
        </w:rPr>
        <w:t xml:space="preserve"> devido a sua versatilidade e existência de ativos complemen</w:t>
      </w:r>
      <w:r>
        <w:rPr>
          <w:rFonts w:ascii="Times New Roman" w:hAnsi="Times New Roman" w:cs="Times New Roman"/>
          <w:sz w:val="24"/>
          <w:szCs w:val="24"/>
          <w:lang w:val="pt-PT"/>
        </w:rPr>
        <w:t>tares, fontes alternativas deverão</w:t>
      </w:r>
      <w:r w:rsidRPr="00DB50B7">
        <w:rPr>
          <w:rFonts w:ascii="Times New Roman" w:hAnsi="Times New Roman" w:cs="Times New Roman"/>
          <w:sz w:val="24"/>
          <w:szCs w:val="24"/>
          <w:lang w:val="pt-PT"/>
        </w:rPr>
        <w:t xml:space="preserve"> ser usadas na criação de novas capacidades, principalmente </w:t>
      </w:r>
      <w:r>
        <w:rPr>
          <w:rFonts w:ascii="Times New Roman" w:hAnsi="Times New Roman" w:cs="Times New Roman"/>
          <w:sz w:val="24"/>
          <w:szCs w:val="24"/>
          <w:lang w:val="pt-PT"/>
        </w:rPr>
        <w:t>se</w:t>
      </w:r>
      <w:r w:rsidRPr="00DB50B7">
        <w:rPr>
          <w:rFonts w:ascii="Times New Roman" w:hAnsi="Times New Roman" w:cs="Times New Roman"/>
          <w:sz w:val="24"/>
          <w:szCs w:val="24"/>
          <w:lang w:val="pt-PT"/>
        </w:rPr>
        <w:t xml:space="preserve"> </w:t>
      </w:r>
      <w:r>
        <w:rPr>
          <w:rFonts w:ascii="Times New Roman" w:hAnsi="Times New Roman" w:cs="Times New Roman"/>
          <w:sz w:val="24"/>
          <w:szCs w:val="24"/>
          <w:lang w:val="pt-PT"/>
        </w:rPr>
        <w:t>os preços do petróleo apresentarem uma trajetória ascendente</w:t>
      </w:r>
      <w:r w:rsidRPr="00DB50B7">
        <w:rPr>
          <w:rFonts w:ascii="Times New Roman" w:hAnsi="Times New Roman" w:cs="Times New Roman"/>
          <w:sz w:val="24"/>
          <w:szCs w:val="24"/>
          <w:lang w:val="pt-PT"/>
        </w:rPr>
        <w:t xml:space="preserve">. </w:t>
      </w:r>
    </w:p>
    <w:p w:rsidR="00C6573C" w:rsidRDefault="00C6573C" w:rsidP="00C6573C">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De todo modo, a análise sugerida por autores como Geels (2004, 2010) e Nelson (2008) mostra </w:t>
      </w:r>
      <w:r w:rsidRPr="000739EC">
        <w:rPr>
          <w:rFonts w:ascii="Times New Roman" w:hAnsi="Times New Roman" w:cs="Times New Roman"/>
          <w:sz w:val="24"/>
          <w:szCs w:val="24"/>
          <w:lang w:val="pt-PT"/>
        </w:rPr>
        <w:t>que a configura</w:t>
      </w:r>
      <w:r>
        <w:rPr>
          <w:rFonts w:ascii="Times New Roman" w:hAnsi="Times New Roman" w:cs="Times New Roman"/>
          <w:sz w:val="24"/>
          <w:szCs w:val="24"/>
          <w:lang w:val="pt-PT"/>
        </w:rPr>
        <w:t>ção do sistema sociotécnico</w:t>
      </w:r>
      <w:r w:rsidRPr="000739EC">
        <w:rPr>
          <w:rFonts w:ascii="Times New Roman" w:hAnsi="Times New Roman" w:cs="Times New Roman"/>
          <w:sz w:val="24"/>
          <w:szCs w:val="24"/>
          <w:lang w:val="pt-PT"/>
        </w:rPr>
        <w:t xml:space="preserve"> que permitirá o funcionamento das bio</w:t>
      </w:r>
      <w:r>
        <w:rPr>
          <w:rFonts w:ascii="Times New Roman" w:hAnsi="Times New Roman" w:cs="Times New Roman"/>
          <w:sz w:val="24"/>
          <w:szCs w:val="24"/>
          <w:lang w:val="pt-PT"/>
        </w:rPr>
        <w:t>r</w:t>
      </w:r>
      <w:r w:rsidRPr="000739EC">
        <w:rPr>
          <w:rFonts w:ascii="Times New Roman" w:hAnsi="Times New Roman" w:cs="Times New Roman"/>
          <w:sz w:val="24"/>
          <w:szCs w:val="24"/>
          <w:lang w:val="pt-PT"/>
        </w:rPr>
        <w:t>refinarias integradas, explorando o potencial de subprodutos em mercados não energéticos</w:t>
      </w:r>
      <w:r>
        <w:rPr>
          <w:rFonts w:ascii="Times New Roman" w:hAnsi="Times New Roman" w:cs="Times New Roman"/>
          <w:sz w:val="24"/>
          <w:szCs w:val="24"/>
          <w:lang w:val="pt-PT"/>
        </w:rPr>
        <w:t>,</w:t>
      </w:r>
      <w:r w:rsidRPr="000739EC">
        <w:rPr>
          <w:rFonts w:ascii="Times New Roman" w:hAnsi="Times New Roman" w:cs="Times New Roman"/>
          <w:sz w:val="24"/>
          <w:szCs w:val="24"/>
          <w:lang w:val="pt-PT"/>
        </w:rPr>
        <w:t xml:space="preserve"> será um processo de longo prazo.</w:t>
      </w:r>
    </w:p>
    <w:p w:rsidR="000436A2" w:rsidRDefault="00C6573C" w:rsidP="00C6573C">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O próximo capítulo é dedicado à forma como têm coevoluído a dinâmica industrial da bioindústria emergente, as políticas e a regulação dos biocombustíveis, usando a experiência brasileira e norte-americana como exemplos. Pretende-se chamar atenção para a importância da adaptação de normas e regras estabelecidas pela regulação de setores caracterizados por elevado grau de inovação tecnológica e sujeitos a constantes mudanças nas políticas públicas direcionadas. </w:t>
      </w:r>
    </w:p>
    <w:p w:rsidR="00715F5B" w:rsidRPr="00715F5B" w:rsidRDefault="000436A2" w:rsidP="00715F5B">
      <w:pPr>
        <w:pStyle w:val="Ttulo1"/>
        <w:rPr>
          <w:rFonts w:cs="Times New Roman"/>
          <w:szCs w:val="24"/>
          <w:lang w:val="pt-PT"/>
        </w:rPr>
      </w:pPr>
      <w:r>
        <w:rPr>
          <w:rFonts w:cs="Times New Roman"/>
          <w:szCs w:val="24"/>
          <w:lang w:val="pt-PT"/>
        </w:rPr>
        <w:br w:type="page"/>
      </w:r>
      <w:bookmarkStart w:id="106" w:name="_Toc330506370"/>
      <w:bookmarkStart w:id="107" w:name="_Toc333911363"/>
      <w:r w:rsidR="00715F5B" w:rsidRPr="00641523">
        <w:lastRenderedPageBreak/>
        <w:t xml:space="preserve">CAPÍTULO 3: </w:t>
      </w:r>
      <w:bookmarkEnd w:id="106"/>
      <w:r w:rsidR="00715F5B" w:rsidRPr="00641523">
        <w:t>adaptação regulatória nos Estados Unidos e no Brasil</w:t>
      </w:r>
      <w:bookmarkEnd w:id="107"/>
    </w:p>
    <w:p w:rsidR="00715F5B" w:rsidRDefault="00715F5B" w:rsidP="00715F5B">
      <w:pPr>
        <w:pStyle w:val="Ttulo1"/>
        <w:spacing w:line="360" w:lineRule="auto"/>
        <w:rPr>
          <w:szCs w:val="24"/>
        </w:rPr>
      </w:pPr>
    </w:p>
    <w:p w:rsidR="00715F5B" w:rsidRDefault="00715F5B" w:rsidP="00715F5B">
      <w:pPr>
        <w:spacing w:line="360" w:lineRule="auto"/>
        <w:ind w:firstLine="708"/>
        <w:rPr>
          <w:rFonts w:ascii="Times New Roman" w:hAnsi="Times New Roman" w:cs="Times New Roman"/>
          <w:sz w:val="24"/>
          <w:szCs w:val="24"/>
        </w:rPr>
      </w:pPr>
      <w:r w:rsidRPr="00E516B0">
        <w:rPr>
          <w:rFonts w:ascii="Times New Roman" w:hAnsi="Times New Roman" w:cs="Times New Roman"/>
          <w:sz w:val="24"/>
          <w:szCs w:val="24"/>
        </w:rPr>
        <w:t xml:space="preserve">Como </w:t>
      </w:r>
      <w:r w:rsidR="00BD5178">
        <w:rPr>
          <w:rFonts w:ascii="Times New Roman" w:hAnsi="Times New Roman" w:cs="Times New Roman"/>
          <w:sz w:val="24"/>
          <w:szCs w:val="24"/>
        </w:rPr>
        <w:t>foi exposto</w:t>
      </w:r>
      <w:r w:rsidRPr="00E516B0">
        <w:rPr>
          <w:rFonts w:ascii="Times New Roman" w:hAnsi="Times New Roman" w:cs="Times New Roman"/>
          <w:sz w:val="24"/>
          <w:szCs w:val="24"/>
        </w:rPr>
        <w:t xml:space="preserve"> no </w:t>
      </w:r>
      <w:r>
        <w:rPr>
          <w:rFonts w:ascii="Times New Roman" w:hAnsi="Times New Roman" w:cs="Times New Roman"/>
          <w:sz w:val="24"/>
          <w:szCs w:val="24"/>
        </w:rPr>
        <w:t>primeiro capítulo</w:t>
      </w:r>
      <w:r w:rsidRPr="00E516B0">
        <w:rPr>
          <w:rFonts w:ascii="Times New Roman" w:hAnsi="Times New Roman" w:cs="Times New Roman"/>
          <w:sz w:val="24"/>
          <w:szCs w:val="24"/>
        </w:rPr>
        <w:t xml:space="preserve">, a </w:t>
      </w:r>
      <w:r>
        <w:rPr>
          <w:rFonts w:ascii="Times New Roman" w:hAnsi="Times New Roman" w:cs="Times New Roman"/>
          <w:sz w:val="24"/>
          <w:szCs w:val="24"/>
        </w:rPr>
        <w:t>trajetória de</w:t>
      </w:r>
      <w:r w:rsidRPr="00E516B0">
        <w:rPr>
          <w:rFonts w:ascii="Times New Roman" w:hAnsi="Times New Roman" w:cs="Times New Roman"/>
          <w:sz w:val="24"/>
          <w:szCs w:val="24"/>
        </w:rPr>
        <w:t xml:space="preserve"> uma indústria</w:t>
      </w:r>
      <w:r>
        <w:rPr>
          <w:rFonts w:ascii="Times New Roman" w:hAnsi="Times New Roman" w:cs="Times New Roman"/>
          <w:sz w:val="24"/>
          <w:szCs w:val="24"/>
        </w:rPr>
        <w:t xml:space="preserve"> é influenciada, por transformações de natureza política e tecnológica,</w:t>
      </w:r>
      <w:r w:rsidRPr="00401B50">
        <w:rPr>
          <w:rFonts w:ascii="Times New Roman" w:hAnsi="Times New Roman" w:cs="Times New Roman"/>
          <w:sz w:val="24"/>
          <w:szCs w:val="24"/>
        </w:rPr>
        <w:t xml:space="preserve"> </w:t>
      </w:r>
      <w:r>
        <w:rPr>
          <w:rFonts w:ascii="Times New Roman" w:hAnsi="Times New Roman" w:cs="Times New Roman"/>
          <w:sz w:val="24"/>
          <w:szCs w:val="24"/>
        </w:rPr>
        <w:t>entre outros elementos. A dinâmica de inovação e a forma como a estrutura industrial está organizada resultam das estratégias empresariais que incorporam diferentes percepções de oportunidades no ambiente de competição e diferentes respostas a políticas setoriais. Desse contexto, surge a necessidade de adaptação das instituições que dão sustentação às tecnologias físicas.</w:t>
      </w:r>
    </w:p>
    <w:p w:rsidR="00715F5B" w:rsidRDefault="00715F5B" w:rsidP="00715F5B">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 produção de biocombustíveis, em termos mundiais, é fortemente influenciada por decisões políticas, seja por estar associada a questões de segurança energética, seja por ser considerada parte da solução para questões ambientais no setor de transportes. Desse modo, mesmo que a dinâmica tecnológica e de inovação em biocombustíveis por si só mostre que há uma diversidade de oportunidades a serem exploradas, não é possível avaliá-la sem considerar a dimensão política. </w:t>
      </w:r>
    </w:p>
    <w:p w:rsidR="00715F5B" w:rsidRDefault="00715F5B" w:rsidP="00715F5B">
      <w:pPr>
        <w:spacing w:line="360" w:lineRule="auto"/>
        <w:rPr>
          <w:rFonts w:ascii="Times New Roman" w:hAnsi="Times New Roman" w:cs="Times New Roman"/>
          <w:sz w:val="24"/>
          <w:szCs w:val="24"/>
        </w:rPr>
      </w:pPr>
      <w:r>
        <w:rPr>
          <w:rFonts w:ascii="Times New Roman" w:hAnsi="Times New Roman" w:cs="Times New Roman"/>
          <w:sz w:val="24"/>
          <w:szCs w:val="24"/>
        </w:rPr>
        <w:tab/>
      </w:r>
      <w:r w:rsidR="007A20D0">
        <w:rPr>
          <w:rFonts w:ascii="Times New Roman" w:hAnsi="Times New Roman" w:cs="Times New Roman"/>
          <w:sz w:val="24"/>
          <w:szCs w:val="24"/>
        </w:rPr>
        <w:t>Este capítulo buscará explorar</w:t>
      </w:r>
      <w:r>
        <w:rPr>
          <w:rFonts w:ascii="Times New Roman" w:hAnsi="Times New Roman" w:cs="Times New Roman"/>
          <w:sz w:val="24"/>
          <w:szCs w:val="24"/>
        </w:rPr>
        <w:t xml:space="preserve"> de que modo a regulação no setor tem evoluído com esses elementos em transformação em dois casos: o primeiro nos Estados Unidos e o segundo no Brasil. Trata-se dos dois merc</w:t>
      </w:r>
      <w:r w:rsidR="009B62C5">
        <w:rPr>
          <w:rFonts w:ascii="Times New Roman" w:hAnsi="Times New Roman" w:cs="Times New Roman"/>
          <w:sz w:val="24"/>
          <w:szCs w:val="24"/>
        </w:rPr>
        <w:t>ados de maior relevância em</w:t>
      </w:r>
      <w:r>
        <w:rPr>
          <w:rFonts w:ascii="Times New Roman" w:hAnsi="Times New Roman" w:cs="Times New Roman"/>
          <w:sz w:val="24"/>
          <w:szCs w:val="24"/>
        </w:rPr>
        <w:t xml:space="preserve"> nível mundial, como </w:t>
      </w:r>
      <w:r w:rsidR="00BD5178">
        <w:rPr>
          <w:rFonts w:ascii="Times New Roman" w:hAnsi="Times New Roman" w:cs="Times New Roman"/>
          <w:sz w:val="24"/>
          <w:szCs w:val="24"/>
        </w:rPr>
        <w:t>foi observado</w:t>
      </w:r>
      <w:r>
        <w:rPr>
          <w:rFonts w:ascii="Times New Roman" w:hAnsi="Times New Roman" w:cs="Times New Roman"/>
          <w:sz w:val="24"/>
          <w:szCs w:val="24"/>
        </w:rPr>
        <w:t xml:space="preserve"> no capítulo anterior, e as experiências nestes dois países trazem importantes lições que ilustram a importância da adaptação regulatória para a difusão de novas tecnologias.</w:t>
      </w:r>
    </w:p>
    <w:p w:rsidR="00715F5B" w:rsidRPr="007869AB" w:rsidRDefault="00715F5B" w:rsidP="00715F5B">
      <w:pPr>
        <w:spacing w:line="360" w:lineRule="auto"/>
        <w:rPr>
          <w:rFonts w:ascii="Times New Roman" w:hAnsi="Times New Roman" w:cs="Times New Roman"/>
          <w:color w:val="FF0000"/>
          <w:sz w:val="24"/>
          <w:szCs w:val="24"/>
        </w:rPr>
      </w:pPr>
    </w:p>
    <w:p w:rsidR="00715F5B" w:rsidRPr="00715F5B" w:rsidRDefault="00715F5B" w:rsidP="00715F5B">
      <w:pPr>
        <w:pStyle w:val="Ttulo2"/>
      </w:pPr>
      <w:bookmarkStart w:id="108" w:name="_Toc330506377"/>
      <w:bookmarkStart w:id="109" w:name="_Toc333911364"/>
      <w:r w:rsidRPr="00715F5B">
        <w:t>3.1 O caso norte-americano</w:t>
      </w:r>
      <w:bookmarkEnd w:id="108"/>
      <w:bookmarkEnd w:id="109"/>
    </w:p>
    <w:p w:rsidR="00715F5B" w:rsidRPr="00641523" w:rsidRDefault="00715F5B" w:rsidP="00715F5B">
      <w:pPr>
        <w:spacing w:line="360" w:lineRule="auto"/>
        <w:rPr>
          <w:rFonts w:ascii="Times New Roman" w:hAnsi="Times New Roman" w:cs="Times New Roman"/>
          <w:sz w:val="24"/>
          <w:szCs w:val="24"/>
        </w:rPr>
      </w:pPr>
    </w:p>
    <w:p w:rsidR="00715F5B" w:rsidRPr="004973EB" w:rsidRDefault="00715F5B" w:rsidP="00715F5B">
      <w:pPr>
        <w:pStyle w:val="Ttulo3"/>
      </w:pPr>
      <w:bookmarkStart w:id="110" w:name="_Toc330506378"/>
      <w:bookmarkStart w:id="111" w:name="_Toc333911365"/>
      <w:r>
        <w:t>3.1</w:t>
      </w:r>
      <w:r w:rsidRPr="004973EB">
        <w:t xml:space="preserve">.1 </w:t>
      </w:r>
      <w:bookmarkEnd w:id="110"/>
      <w:r>
        <w:t>A regulação dos biocombustíveis nos Estados Unidos</w:t>
      </w:r>
      <w:bookmarkEnd w:id="111"/>
    </w:p>
    <w:p w:rsidR="00715F5B" w:rsidRDefault="00715F5B" w:rsidP="00715F5B">
      <w:pPr>
        <w:spacing w:line="360" w:lineRule="auto"/>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O pont</w:t>
      </w:r>
      <w:r w:rsidR="007A20D0">
        <w:rPr>
          <w:rFonts w:ascii="Times New Roman" w:hAnsi="Times New Roman" w:cs="Times New Roman"/>
          <w:sz w:val="24"/>
          <w:szCs w:val="24"/>
          <w:lang w:val="pt-PT"/>
        </w:rPr>
        <w:t>o de partida para compreensão</w:t>
      </w:r>
      <w:r>
        <w:rPr>
          <w:rFonts w:ascii="Times New Roman" w:hAnsi="Times New Roman" w:cs="Times New Roman"/>
          <w:sz w:val="24"/>
          <w:szCs w:val="24"/>
          <w:lang w:val="pt-PT"/>
        </w:rPr>
        <w:t xml:space="preserve"> </w:t>
      </w:r>
      <w:r w:rsidR="007A20D0">
        <w:rPr>
          <w:rFonts w:ascii="Times New Roman" w:hAnsi="Times New Roman" w:cs="Times New Roman"/>
          <w:sz w:val="24"/>
          <w:szCs w:val="24"/>
          <w:lang w:val="pt-PT"/>
        </w:rPr>
        <w:t>d</w:t>
      </w:r>
      <w:r>
        <w:rPr>
          <w:rFonts w:ascii="Times New Roman" w:hAnsi="Times New Roman" w:cs="Times New Roman"/>
          <w:sz w:val="24"/>
          <w:szCs w:val="24"/>
          <w:lang w:val="pt-PT"/>
        </w:rPr>
        <w:t xml:space="preserve">a regulação de biocombustíveis nos Estados Unidos se encontra no </w:t>
      </w:r>
      <w:r w:rsidRPr="0018150F">
        <w:rPr>
          <w:rFonts w:ascii="Times New Roman" w:hAnsi="Times New Roman" w:cs="Times New Roman"/>
          <w:i/>
          <w:sz w:val="24"/>
          <w:szCs w:val="24"/>
          <w:lang w:val="pt-PT"/>
        </w:rPr>
        <w:t>Clean Air Act</w:t>
      </w:r>
      <w:r>
        <w:rPr>
          <w:rFonts w:ascii="Times New Roman" w:hAnsi="Times New Roman" w:cs="Times New Roman"/>
          <w:sz w:val="24"/>
          <w:szCs w:val="24"/>
          <w:lang w:val="pt-PT"/>
        </w:rPr>
        <w:t xml:space="preserve"> (CAA). Sob o CAA, a</w:t>
      </w:r>
      <w:r w:rsidRPr="000E5C08">
        <w:rPr>
          <w:rFonts w:ascii="Times New Roman" w:hAnsi="Times New Roman" w:cs="Times New Roman"/>
          <w:sz w:val="24"/>
          <w:szCs w:val="24"/>
          <w:lang w:val="pt-PT"/>
        </w:rPr>
        <w:t xml:space="preserve"> </w:t>
      </w:r>
      <w:r w:rsidRPr="00D0693D">
        <w:rPr>
          <w:rFonts w:ascii="Times New Roman" w:hAnsi="Times New Roman" w:cs="Times New Roman"/>
          <w:sz w:val="24"/>
          <w:szCs w:val="24"/>
          <w:lang w:val="pt-PT"/>
        </w:rPr>
        <w:t>Agência de Proteção Am</w:t>
      </w:r>
      <w:r>
        <w:rPr>
          <w:rFonts w:ascii="Times New Roman" w:hAnsi="Times New Roman" w:cs="Times New Roman"/>
          <w:sz w:val="24"/>
          <w:szCs w:val="24"/>
          <w:lang w:val="pt-PT"/>
        </w:rPr>
        <w:t xml:space="preserve">biental (EPA) é a única entidade nos Estados Unidos com autoridade para regular a comercialização de novos combustíveis e aditivos. Especificamente, o CAA requer que novos combustíveis sejam “substancialmente similares” aos já usados em processos de certificação para sistemas de controles de emissões de motores e é a EPA que fornece as especificações detalhadas que os combustíveis finais devem cumprir para serem considerados como tal. Caso um determinado combustível ou mistura não cumpram as especificações, é necessário que a EPA </w:t>
      </w:r>
      <w:r>
        <w:rPr>
          <w:rFonts w:ascii="Times New Roman" w:hAnsi="Times New Roman" w:cs="Times New Roman"/>
          <w:sz w:val="24"/>
          <w:szCs w:val="24"/>
          <w:lang w:val="pt-PT"/>
        </w:rPr>
        <w:lastRenderedPageBreak/>
        <w:t>retire a proibição dirigida a combustíveis ou aditivos não especificados</w:t>
      </w:r>
      <w:r w:rsidRPr="00846A27">
        <w:rPr>
          <w:rStyle w:val="Refdenotaderodap"/>
          <w:rFonts w:ascii="Times New Roman" w:hAnsi="Times New Roman" w:cs="Times New Roman"/>
          <w:sz w:val="24"/>
          <w:szCs w:val="24"/>
          <w:lang w:val="pt-PT"/>
        </w:rPr>
        <w:footnoteReference w:id="25"/>
      </w:r>
      <w:r w:rsidRPr="00BA3C9A">
        <w:rPr>
          <w:rFonts w:ascii="Times New Roman" w:hAnsi="Times New Roman" w:cs="Times New Roman"/>
          <w:i/>
          <w:sz w:val="24"/>
          <w:szCs w:val="24"/>
          <w:lang w:val="pt-PT"/>
        </w:rPr>
        <w:t xml:space="preserve"> </w:t>
      </w:r>
      <w:r>
        <w:rPr>
          <w:rFonts w:ascii="Times New Roman" w:hAnsi="Times New Roman" w:cs="Times New Roman"/>
          <w:sz w:val="24"/>
          <w:szCs w:val="24"/>
          <w:lang w:val="pt-PT"/>
        </w:rPr>
        <w:t>para que eles possam ser comercializados legalmente. Para aumentar progressivamente o percentual de etanol na gasolina para 15%, por exemplo, os produtores precisaram recorrer a esse mecanismo.</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Já o programa </w:t>
      </w:r>
      <w:r w:rsidRPr="00195E98">
        <w:rPr>
          <w:rFonts w:ascii="Times New Roman" w:hAnsi="Times New Roman" w:cs="Times New Roman"/>
          <w:i/>
          <w:sz w:val="24"/>
          <w:szCs w:val="24"/>
          <w:lang w:val="pt-PT"/>
        </w:rPr>
        <w:t>Renewable Fuel Standard</w:t>
      </w:r>
      <w:r>
        <w:rPr>
          <w:rFonts w:ascii="Times New Roman" w:hAnsi="Times New Roman" w:cs="Times New Roman"/>
          <w:sz w:val="24"/>
          <w:szCs w:val="24"/>
          <w:lang w:val="pt-PT"/>
        </w:rPr>
        <w:t xml:space="preserve"> (RFS), criado no âmbito da Lei de Política de Energia (</w:t>
      </w:r>
      <w:r w:rsidRPr="00195E98">
        <w:rPr>
          <w:rFonts w:ascii="Times New Roman" w:hAnsi="Times New Roman" w:cs="Times New Roman"/>
          <w:i/>
          <w:sz w:val="24"/>
          <w:szCs w:val="24"/>
          <w:lang w:val="pt-PT"/>
        </w:rPr>
        <w:t>Energy Policy Act</w:t>
      </w:r>
      <w:r>
        <w:rPr>
          <w:rFonts w:ascii="Times New Roman" w:hAnsi="Times New Roman" w:cs="Times New Roman"/>
          <w:sz w:val="24"/>
          <w:szCs w:val="24"/>
          <w:lang w:val="pt-PT"/>
        </w:rPr>
        <w:t>) de 2005 para estabelecer mandatos de volume para combustíveis renováveis, é o segundo ponto relevante para</w:t>
      </w:r>
      <w:r w:rsidR="007A20D0">
        <w:rPr>
          <w:rFonts w:ascii="Times New Roman" w:hAnsi="Times New Roman" w:cs="Times New Roman"/>
          <w:sz w:val="24"/>
          <w:szCs w:val="24"/>
          <w:lang w:val="pt-PT"/>
        </w:rPr>
        <w:t xml:space="preserve"> que se</w:t>
      </w:r>
      <w:r>
        <w:rPr>
          <w:rFonts w:ascii="Times New Roman" w:hAnsi="Times New Roman" w:cs="Times New Roman"/>
          <w:sz w:val="24"/>
          <w:szCs w:val="24"/>
          <w:lang w:val="pt-PT"/>
        </w:rPr>
        <w:t xml:space="preserve"> c</w:t>
      </w:r>
      <w:r w:rsidR="007A20D0">
        <w:rPr>
          <w:rFonts w:ascii="Times New Roman" w:hAnsi="Times New Roman" w:cs="Times New Roman"/>
          <w:sz w:val="24"/>
          <w:szCs w:val="24"/>
          <w:lang w:val="pt-PT"/>
        </w:rPr>
        <w:t>ompreenda</w:t>
      </w:r>
      <w:r>
        <w:rPr>
          <w:rFonts w:ascii="Times New Roman" w:hAnsi="Times New Roman" w:cs="Times New Roman"/>
          <w:sz w:val="24"/>
          <w:szCs w:val="24"/>
          <w:lang w:val="pt-PT"/>
        </w:rPr>
        <w:t xml:space="preserve"> a regulação de biocombustíveis nos Estados Unidos. </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A versão original do programa, RFS1, determinou que 7,5 bilhões de galões de combustíveis renováveis fossem misturados à gasolina até 2012. Posteriormente, em 2007, por meio da Lei de Independência e Segurança Energética (EISA), o programa se expandiu, passando a incluir também óleo diesel. Também aumentou a meta de volume de combustíveis renováveis, que deveria passar de 9 bilhões, em 2008, para 36 bilhões de galões até 2022, e estabeleceu categorias de combustíveis renováveis, bem como metas específicas para cada uma delas. </w:t>
      </w:r>
    </w:p>
    <w:p w:rsidR="00715F5B" w:rsidRDefault="00715F5B" w:rsidP="00715F5B">
      <w:pPr>
        <w:spacing w:line="360" w:lineRule="auto"/>
        <w:ind w:firstLine="708"/>
        <w:rPr>
          <w:rFonts w:ascii="Times New Roman" w:hAnsi="Times New Roman" w:cs="Times New Roman"/>
          <w:sz w:val="24"/>
          <w:szCs w:val="24"/>
          <w:lang w:val="pt-PT"/>
        </w:rPr>
      </w:pPr>
      <w:r w:rsidRPr="00D0693D">
        <w:rPr>
          <w:rFonts w:ascii="Times New Roman" w:hAnsi="Times New Roman" w:cs="Times New Roman"/>
          <w:sz w:val="24"/>
          <w:szCs w:val="24"/>
          <w:lang w:val="pt-PT"/>
        </w:rPr>
        <w:t>A</w:t>
      </w:r>
      <w:r>
        <w:rPr>
          <w:rFonts w:ascii="Times New Roman" w:hAnsi="Times New Roman" w:cs="Times New Roman"/>
          <w:sz w:val="24"/>
          <w:szCs w:val="24"/>
          <w:lang w:val="pt-PT"/>
        </w:rPr>
        <w:t xml:space="preserve"> EPA</w:t>
      </w:r>
      <w:r w:rsidRPr="00D0693D">
        <w:rPr>
          <w:rFonts w:ascii="Times New Roman" w:hAnsi="Times New Roman" w:cs="Times New Roman"/>
          <w:sz w:val="24"/>
          <w:szCs w:val="24"/>
          <w:lang w:val="pt-PT"/>
        </w:rPr>
        <w:t xml:space="preserve"> é o órgão responsável por desenvolver e implementar regulamentações que garantam que os combustíveis de transporte vendidos naquele paí</w:t>
      </w:r>
      <w:r>
        <w:rPr>
          <w:rFonts w:ascii="Times New Roman" w:hAnsi="Times New Roman" w:cs="Times New Roman"/>
          <w:sz w:val="24"/>
          <w:szCs w:val="24"/>
          <w:lang w:val="pt-PT"/>
        </w:rPr>
        <w:t xml:space="preserve">s tenham uma porcentagem mínima de combustível renovável. É ela também que define os limites de desempenho que separam as categorias de combustíveis renováveis, levando em consideração as emissões durante todo o ciclo de vida em comparação ao combustível fóssil substituído. </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A avaliação das emissões de GEE durante o ciclo de vida é necessária para definição dos limites que dividem as quatro categorias de combustíveis renováveis. A classificação é feita de acordo com três critérios: i) tipo de combustível, ii) matéria-prima utilizada, e iii) processo de produção.</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Cada combinação específica desses três critérios corresponde a uma rota de combustível (</w:t>
      </w:r>
      <w:r w:rsidRPr="00912FE7">
        <w:rPr>
          <w:rFonts w:ascii="Times New Roman" w:hAnsi="Times New Roman" w:cs="Times New Roman"/>
          <w:i/>
          <w:sz w:val="24"/>
          <w:szCs w:val="24"/>
          <w:lang w:val="pt-PT"/>
        </w:rPr>
        <w:t>fuel pathway</w:t>
      </w:r>
      <w:r>
        <w:rPr>
          <w:rFonts w:ascii="Times New Roman" w:hAnsi="Times New Roman" w:cs="Times New Roman"/>
          <w:sz w:val="24"/>
          <w:szCs w:val="24"/>
          <w:lang w:val="pt-PT"/>
        </w:rPr>
        <w:t>), que estabelece pré-requisitos a serem cumpridos por qualquer produtor interessado em se beneciar dos ince</w:t>
      </w:r>
      <w:r w:rsidR="007A20D0">
        <w:rPr>
          <w:rFonts w:ascii="Times New Roman" w:hAnsi="Times New Roman" w:cs="Times New Roman"/>
          <w:sz w:val="24"/>
          <w:szCs w:val="24"/>
          <w:lang w:val="pt-PT"/>
        </w:rPr>
        <w:t>n</w:t>
      </w:r>
      <w:r>
        <w:rPr>
          <w:rFonts w:ascii="Times New Roman" w:hAnsi="Times New Roman" w:cs="Times New Roman"/>
          <w:sz w:val="24"/>
          <w:szCs w:val="24"/>
          <w:lang w:val="pt-PT"/>
        </w:rPr>
        <w:t>tivos do RFS2 àquela categoria. Essas rotas recebem um código RIN (</w:t>
      </w:r>
      <w:r w:rsidRPr="00FB65CF">
        <w:rPr>
          <w:rFonts w:ascii="Times New Roman" w:hAnsi="Times New Roman" w:cs="Times New Roman"/>
          <w:i/>
          <w:sz w:val="24"/>
          <w:szCs w:val="24"/>
          <w:lang w:val="pt-PT"/>
        </w:rPr>
        <w:t>Renewable Identification Number</w:t>
      </w:r>
      <w:r>
        <w:rPr>
          <w:rFonts w:ascii="Times New Roman" w:hAnsi="Times New Roman" w:cs="Times New Roman"/>
          <w:sz w:val="24"/>
          <w:szCs w:val="24"/>
          <w:lang w:val="pt-PT"/>
        </w:rPr>
        <w:t xml:space="preserve">) designando a categoria para a qual ele é elegível. O RIN é o mecanismo por meio do qual os agentes cumprem as metas de volumes estabelecidos pelo programa. O RFS2 exige que os produtores de combustíveis </w:t>
      </w:r>
      <w:r>
        <w:rPr>
          <w:rFonts w:ascii="Times New Roman" w:hAnsi="Times New Roman" w:cs="Times New Roman"/>
          <w:sz w:val="24"/>
          <w:szCs w:val="24"/>
          <w:lang w:val="pt-PT"/>
        </w:rPr>
        <w:lastRenderedPageBreak/>
        <w:t xml:space="preserve">renováveis atribuam RINs específicos a cada lote produzido, sendo que estes devem indicar o volume de combustível renovável que será atendido. </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Quando as partes obrigadas</w:t>
      </w:r>
      <w:r>
        <w:rPr>
          <w:rStyle w:val="Refdenotaderodap"/>
          <w:rFonts w:ascii="Times New Roman" w:hAnsi="Times New Roman" w:cs="Times New Roman"/>
          <w:sz w:val="24"/>
          <w:szCs w:val="24"/>
          <w:lang w:val="pt-PT"/>
        </w:rPr>
        <w:footnoteReference w:id="26"/>
      </w:r>
      <w:r>
        <w:rPr>
          <w:rFonts w:ascii="Times New Roman" w:hAnsi="Times New Roman" w:cs="Times New Roman"/>
          <w:sz w:val="24"/>
          <w:szCs w:val="24"/>
          <w:lang w:val="pt-PT"/>
        </w:rPr>
        <w:t xml:space="preserve"> adquirem esse combustível do produtor para comercialização, reportam o RIN correspondent</w:t>
      </w:r>
      <w:r w:rsidR="007A20D0">
        <w:rPr>
          <w:rFonts w:ascii="Times New Roman" w:hAnsi="Times New Roman" w:cs="Times New Roman"/>
          <w:sz w:val="24"/>
          <w:szCs w:val="24"/>
          <w:lang w:val="pt-PT"/>
        </w:rPr>
        <w:t>e à EPA para demonstrar que estão sendo cumpridas</w:t>
      </w:r>
      <w:r>
        <w:rPr>
          <w:rFonts w:ascii="Times New Roman" w:hAnsi="Times New Roman" w:cs="Times New Roman"/>
          <w:sz w:val="24"/>
          <w:szCs w:val="24"/>
          <w:lang w:val="pt-PT"/>
        </w:rPr>
        <w:t xml:space="preserve"> as determinações de volume. Associado aos RINs, há outro mecanismo que permite aos agentes cumprir as metas estabelecidas: os valores de equivalência, atribuídos de acordo com seu conteúdo energético. Atualmente, esses valores têm como referência o conteúdo energético do bioetanol, com valor-base igual à unidade. </w:t>
      </w:r>
    </w:p>
    <w:p w:rsidR="00715F5B" w:rsidRDefault="00715F5B" w:rsidP="00715F5B">
      <w:pPr>
        <w:spacing w:line="360" w:lineRule="auto"/>
        <w:ind w:firstLine="708"/>
        <w:rPr>
          <w:rFonts w:ascii="Times New Roman" w:hAnsi="Times New Roman" w:cs="Times New Roman"/>
          <w:sz w:val="24"/>
          <w:szCs w:val="24"/>
          <w:lang w:val="pt-PT"/>
        </w:rPr>
      </w:pPr>
    </w:p>
    <w:p w:rsidR="00715F5B" w:rsidRPr="00824B15" w:rsidRDefault="00715F5B" w:rsidP="00715F5B">
      <w:pPr>
        <w:ind w:firstLine="709"/>
        <w:rPr>
          <w:rFonts w:ascii="Times New Roman" w:hAnsi="Times New Roman" w:cs="Times New Roman"/>
          <w:b/>
          <w:sz w:val="24"/>
          <w:szCs w:val="24"/>
          <w:lang w:val="pt-PT"/>
        </w:rPr>
      </w:pPr>
      <w:r>
        <w:rPr>
          <w:rFonts w:ascii="Times New Roman" w:hAnsi="Times New Roman" w:cs="Times New Roman"/>
          <w:sz w:val="24"/>
          <w:szCs w:val="24"/>
          <w:lang w:val="pt-PT"/>
        </w:rPr>
        <w:t xml:space="preserve">                          </w:t>
      </w:r>
      <w:r w:rsidRPr="00824B15">
        <w:rPr>
          <w:rFonts w:ascii="Times New Roman" w:hAnsi="Times New Roman" w:cs="Times New Roman"/>
          <w:b/>
          <w:sz w:val="24"/>
          <w:szCs w:val="24"/>
          <w:lang w:val="pt-PT"/>
        </w:rPr>
        <w:t xml:space="preserve">Tabela </w:t>
      </w:r>
      <w:r w:rsidR="00E477E7">
        <w:rPr>
          <w:rFonts w:ascii="Times New Roman" w:hAnsi="Times New Roman" w:cs="Times New Roman"/>
          <w:b/>
          <w:sz w:val="24"/>
          <w:szCs w:val="24"/>
          <w:lang w:val="pt-PT"/>
        </w:rPr>
        <w:t>2</w:t>
      </w:r>
      <w:r w:rsidRPr="00824B15">
        <w:rPr>
          <w:rFonts w:ascii="Times New Roman" w:hAnsi="Times New Roman" w:cs="Times New Roman"/>
          <w:b/>
          <w:sz w:val="24"/>
          <w:szCs w:val="24"/>
          <w:lang w:val="pt-PT"/>
        </w:rPr>
        <w:t xml:space="preserve"> - Valores de Conversão</w:t>
      </w:r>
      <w:r>
        <w:rPr>
          <w:rFonts w:ascii="Times New Roman" w:hAnsi="Times New Roman" w:cs="Times New Roman"/>
          <w:b/>
          <w:sz w:val="24"/>
          <w:szCs w:val="24"/>
          <w:lang w:val="pt-PT"/>
        </w:rPr>
        <w:t xml:space="preserve"> do RFS2</w:t>
      </w:r>
    </w:p>
    <w:p w:rsidR="00715F5B" w:rsidRDefault="00715F5B" w:rsidP="00715F5B">
      <w:pPr>
        <w:ind w:firstLine="709"/>
        <w:rPr>
          <w:rFonts w:ascii="Times New Roman" w:hAnsi="Times New Roman" w:cs="Times New Roman"/>
          <w:sz w:val="24"/>
          <w:szCs w:val="24"/>
          <w:lang w:val="pt-PT"/>
        </w:rPr>
      </w:pPr>
    </w:p>
    <w:tbl>
      <w:tblPr>
        <w:tblStyle w:val="Tabelacomgrade"/>
        <w:tblW w:w="0" w:type="auto"/>
        <w:jc w:val="center"/>
        <w:tblInd w:w="1101" w:type="dxa"/>
        <w:tblLook w:val="04A0"/>
      </w:tblPr>
      <w:tblGrid>
        <w:gridCol w:w="3221"/>
        <w:gridCol w:w="1173"/>
      </w:tblGrid>
      <w:tr w:rsidR="00715F5B" w:rsidTr="00EF5A51">
        <w:trPr>
          <w:jc w:val="center"/>
        </w:trPr>
        <w:tc>
          <w:tcPr>
            <w:tcW w:w="3221" w:type="dxa"/>
            <w:vAlign w:val="bottom"/>
          </w:tcPr>
          <w:p w:rsidR="00715F5B" w:rsidRDefault="00715F5B" w:rsidP="00EF5A51">
            <w:pPr>
              <w:jc w:val="center"/>
              <w:rPr>
                <w:rFonts w:ascii="Times New Roman" w:hAnsi="Times New Roman" w:cs="Times New Roman"/>
                <w:sz w:val="24"/>
                <w:szCs w:val="24"/>
                <w:lang w:val="pt-PT"/>
              </w:rPr>
            </w:pPr>
            <w:r>
              <w:rPr>
                <w:rFonts w:ascii="Times New Roman" w:hAnsi="Times New Roman" w:cs="Times New Roman"/>
                <w:sz w:val="24"/>
                <w:szCs w:val="24"/>
                <w:lang w:val="pt-PT"/>
              </w:rPr>
              <w:t>Bioetanol</w:t>
            </w:r>
          </w:p>
        </w:tc>
        <w:tc>
          <w:tcPr>
            <w:tcW w:w="1173" w:type="dxa"/>
            <w:vAlign w:val="bottom"/>
          </w:tcPr>
          <w:p w:rsidR="00715F5B" w:rsidRDefault="00715F5B" w:rsidP="00EF5A51">
            <w:pPr>
              <w:jc w:val="center"/>
              <w:rPr>
                <w:rFonts w:ascii="Times New Roman" w:hAnsi="Times New Roman" w:cs="Times New Roman"/>
                <w:sz w:val="24"/>
                <w:szCs w:val="24"/>
                <w:lang w:val="pt-PT"/>
              </w:rPr>
            </w:pPr>
            <w:r>
              <w:rPr>
                <w:rFonts w:ascii="Times New Roman" w:hAnsi="Times New Roman" w:cs="Times New Roman"/>
                <w:sz w:val="24"/>
                <w:szCs w:val="24"/>
                <w:lang w:val="pt-PT"/>
              </w:rPr>
              <w:t>1,0</w:t>
            </w:r>
          </w:p>
        </w:tc>
      </w:tr>
      <w:tr w:rsidR="00715F5B" w:rsidTr="00EF5A51">
        <w:trPr>
          <w:jc w:val="center"/>
        </w:trPr>
        <w:tc>
          <w:tcPr>
            <w:tcW w:w="3221" w:type="dxa"/>
            <w:vAlign w:val="bottom"/>
          </w:tcPr>
          <w:p w:rsidR="00715F5B" w:rsidRDefault="00715F5B" w:rsidP="00EF5A51">
            <w:pPr>
              <w:jc w:val="center"/>
              <w:rPr>
                <w:rFonts w:ascii="Times New Roman" w:hAnsi="Times New Roman" w:cs="Times New Roman"/>
                <w:sz w:val="24"/>
                <w:szCs w:val="24"/>
                <w:lang w:val="pt-PT"/>
              </w:rPr>
            </w:pPr>
            <w:r>
              <w:rPr>
                <w:rFonts w:ascii="Times New Roman" w:hAnsi="Times New Roman" w:cs="Times New Roman"/>
                <w:sz w:val="24"/>
                <w:szCs w:val="24"/>
                <w:lang w:val="pt-PT"/>
              </w:rPr>
              <w:t>Biobutanol</w:t>
            </w:r>
          </w:p>
        </w:tc>
        <w:tc>
          <w:tcPr>
            <w:tcW w:w="1173" w:type="dxa"/>
            <w:vAlign w:val="bottom"/>
          </w:tcPr>
          <w:p w:rsidR="00715F5B" w:rsidRDefault="00715F5B" w:rsidP="00EF5A51">
            <w:pPr>
              <w:jc w:val="center"/>
              <w:rPr>
                <w:rFonts w:ascii="Times New Roman" w:hAnsi="Times New Roman" w:cs="Times New Roman"/>
                <w:sz w:val="24"/>
                <w:szCs w:val="24"/>
                <w:lang w:val="pt-PT"/>
              </w:rPr>
            </w:pPr>
            <w:r>
              <w:rPr>
                <w:rFonts w:ascii="Times New Roman" w:hAnsi="Times New Roman" w:cs="Times New Roman"/>
                <w:sz w:val="24"/>
                <w:szCs w:val="24"/>
                <w:lang w:val="pt-PT"/>
              </w:rPr>
              <w:t>1,3</w:t>
            </w:r>
          </w:p>
        </w:tc>
      </w:tr>
      <w:tr w:rsidR="00715F5B" w:rsidTr="00EF5A51">
        <w:trPr>
          <w:jc w:val="center"/>
        </w:trPr>
        <w:tc>
          <w:tcPr>
            <w:tcW w:w="3221" w:type="dxa"/>
            <w:vAlign w:val="bottom"/>
          </w:tcPr>
          <w:p w:rsidR="00715F5B" w:rsidRDefault="00715F5B" w:rsidP="00EF5A51">
            <w:pPr>
              <w:jc w:val="center"/>
              <w:rPr>
                <w:rFonts w:ascii="Times New Roman" w:hAnsi="Times New Roman" w:cs="Times New Roman"/>
                <w:sz w:val="24"/>
                <w:szCs w:val="24"/>
                <w:lang w:val="pt-PT"/>
              </w:rPr>
            </w:pPr>
            <w:r>
              <w:rPr>
                <w:rFonts w:ascii="Times New Roman" w:hAnsi="Times New Roman" w:cs="Times New Roman"/>
                <w:sz w:val="24"/>
                <w:szCs w:val="24"/>
                <w:lang w:val="pt-PT"/>
              </w:rPr>
              <w:t>Biodiesel</w:t>
            </w:r>
          </w:p>
        </w:tc>
        <w:tc>
          <w:tcPr>
            <w:tcW w:w="1173" w:type="dxa"/>
            <w:vAlign w:val="bottom"/>
          </w:tcPr>
          <w:p w:rsidR="00715F5B" w:rsidRDefault="00715F5B" w:rsidP="00EF5A51">
            <w:pPr>
              <w:jc w:val="center"/>
              <w:rPr>
                <w:rFonts w:ascii="Times New Roman" w:hAnsi="Times New Roman" w:cs="Times New Roman"/>
                <w:sz w:val="24"/>
                <w:szCs w:val="24"/>
                <w:lang w:val="pt-PT"/>
              </w:rPr>
            </w:pPr>
            <w:r>
              <w:rPr>
                <w:rFonts w:ascii="Times New Roman" w:hAnsi="Times New Roman" w:cs="Times New Roman"/>
                <w:sz w:val="24"/>
                <w:szCs w:val="24"/>
                <w:lang w:val="pt-PT"/>
              </w:rPr>
              <w:t>1,5</w:t>
            </w:r>
          </w:p>
        </w:tc>
      </w:tr>
      <w:tr w:rsidR="00715F5B" w:rsidTr="00EF5A51">
        <w:trPr>
          <w:jc w:val="center"/>
        </w:trPr>
        <w:tc>
          <w:tcPr>
            <w:tcW w:w="3221" w:type="dxa"/>
            <w:vAlign w:val="bottom"/>
          </w:tcPr>
          <w:p w:rsidR="00715F5B" w:rsidRDefault="00715F5B" w:rsidP="00EF5A51">
            <w:pPr>
              <w:jc w:val="center"/>
              <w:rPr>
                <w:rFonts w:ascii="Times New Roman" w:hAnsi="Times New Roman" w:cs="Times New Roman"/>
                <w:sz w:val="24"/>
                <w:szCs w:val="24"/>
                <w:lang w:val="pt-PT"/>
              </w:rPr>
            </w:pPr>
            <w:r>
              <w:rPr>
                <w:rFonts w:ascii="Times New Roman" w:hAnsi="Times New Roman" w:cs="Times New Roman"/>
                <w:sz w:val="24"/>
                <w:szCs w:val="24"/>
                <w:lang w:val="pt-PT"/>
              </w:rPr>
              <w:t>Diesel Renovável (não-éster)</w:t>
            </w:r>
          </w:p>
        </w:tc>
        <w:tc>
          <w:tcPr>
            <w:tcW w:w="1173" w:type="dxa"/>
            <w:vAlign w:val="bottom"/>
          </w:tcPr>
          <w:p w:rsidR="00715F5B" w:rsidRDefault="00715F5B" w:rsidP="00EF5A51">
            <w:pPr>
              <w:jc w:val="center"/>
              <w:rPr>
                <w:rFonts w:ascii="Times New Roman" w:hAnsi="Times New Roman" w:cs="Times New Roman"/>
                <w:sz w:val="24"/>
                <w:szCs w:val="24"/>
                <w:lang w:val="pt-PT"/>
              </w:rPr>
            </w:pPr>
            <w:r>
              <w:rPr>
                <w:rFonts w:ascii="Times New Roman" w:hAnsi="Times New Roman" w:cs="Times New Roman"/>
                <w:sz w:val="24"/>
                <w:szCs w:val="24"/>
                <w:lang w:val="pt-PT"/>
              </w:rPr>
              <w:t>1,7</w:t>
            </w:r>
          </w:p>
        </w:tc>
      </w:tr>
    </w:tbl>
    <w:p w:rsidR="00715F5B" w:rsidRDefault="00715F5B" w:rsidP="00715F5B">
      <w:pPr>
        <w:ind w:firstLine="709"/>
        <w:rPr>
          <w:rFonts w:ascii="Times New Roman" w:hAnsi="Times New Roman" w:cs="Times New Roman"/>
          <w:sz w:val="20"/>
          <w:szCs w:val="20"/>
          <w:lang w:val="pt-PT"/>
        </w:rPr>
      </w:pPr>
      <w:r>
        <w:rPr>
          <w:rFonts w:ascii="Times New Roman" w:hAnsi="Times New Roman" w:cs="Times New Roman"/>
          <w:sz w:val="20"/>
          <w:szCs w:val="20"/>
          <w:lang w:val="pt-PT"/>
        </w:rPr>
        <w:t xml:space="preserve">      </w:t>
      </w:r>
    </w:p>
    <w:p w:rsidR="00715F5B" w:rsidRPr="000E287B" w:rsidRDefault="00715F5B" w:rsidP="00715F5B">
      <w:pPr>
        <w:ind w:firstLine="709"/>
        <w:rPr>
          <w:rFonts w:ascii="Times New Roman" w:hAnsi="Times New Roman" w:cs="Times New Roman"/>
          <w:sz w:val="20"/>
          <w:szCs w:val="20"/>
          <w:lang w:val="pt-PT"/>
        </w:rPr>
      </w:pPr>
      <w:r>
        <w:rPr>
          <w:rFonts w:ascii="Times New Roman" w:hAnsi="Times New Roman" w:cs="Times New Roman"/>
          <w:sz w:val="20"/>
          <w:szCs w:val="20"/>
          <w:lang w:val="pt-PT"/>
        </w:rPr>
        <w:t xml:space="preserve">                           </w:t>
      </w:r>
      <w:r w:rsidRPr="000E287B">
        <w:rPr>
          <w:rFonts w:ascii="Times New Roman" w:hAnsi="Times New Roman" w:cs="Times New Roman"/>
          <w:sz w:val="20"/>
          <w:szCs w:val="20"/>
          <w:lang w:val="pt-PT"/>
        </w:rPr>
        <w:t>Fonte: EPA (2010</w:t>
      </w:r>
      <w:r w:rsidR="007A20D0">
        <w:rPr>
          <w:rFonts w:ascii="Times New Roman" w:hAnsi="Times New Roman" w:cs="Times New Roman"/>
          <w:sz w:val="20"/>
          <w:szCs w:val="20"/>
          <w:lang w:val="pt-PT"/>
        </w:rPr>
        <w:t>a, p. 14709</w:t>
      </w:r>
      <w:r w:rsidRPr="000E287B">
        <w:rPr>
          <w:rFonts w:ascii="Times New Roman" w:hAnsi="Times New Roman" w:cs="Times New Roman"/>
          <w:sz w:val="20"/>
          <w:szCs w:val="20"/>
          <w:lang w:val="pt-PT"/>
        </w:rPr>
        <w:t>)</w:t>
      </w: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r w:rsidRPr="000C4BF4">
        <w:rPr>
          <w:rFonts w:ascii="Times New Roman" w:hAnsi="Times New Roman" w:cs="Times New Roman"/>
          <w:sz w:val="24"/>
          <w:szCs w:val="24"/>
          <w:lang w:val="pt-PT"/>
        </w:rPr>
        <w:t>Esse mecanismo permite que os agente ne</w:t>
      </w:r>
      <w:r>
        <w:rPr>
          <w:rFonts w:ascii="Times New Roman" w:hAnsi="Times New Roman" w:cs="Times New Roman"/>
          <w:sz w:val="24"/>
          <w:szCs w:val="24"/>
          <w:lang w:val="pt-PT"/>
        </w:rPr>
        <w:t>gociem RINs a fim de cumprir</w:t>
      </w:r>
      <w:r w:rsidRPr="000C4BF4">
        <w:rPr>
          <w:rFonts w:ascii="Times New Roman" w:hAnsi="Times New Roman" w:cs="Times New Roman"/>
          <w:sz w:val="24"/>
          <w:szCs w:val="24"/>
          <w:lang w:val="pt-PT"/>
        </w:rPr>
        <w:t xml:space="preserve"> o mandato, por meio de um sistema de transações moderado pela EPA. Se u</w:t>
      </w:r>
      <w:r>
        <w:rPr>
          <w:rFonts w:ascii="Times New Roman" w:hAnsi="Times New Roman" w:cs="Times New Roman"/>
          <w:sz w:val="24"/>
          <w:szCs w:val="24"/>
          <w:lang w:val="pt-PT"/>
        </w:rPr>
        <w:t>ma das partes obrigadas adquire</w:t>
      </w:r>
      <w:r w:rsidRPr="000C4BF4">
        <w:rPr>
          <w:rFonts w:ascii="Times New Roman" w:hAnsi="Times New Roman" w:cs="Times New Roman"/>
          <w:sz w:val="24"/>
          <w:szCs w:val="24"/>
          <w:lang w:val="pt-PT"/>
        </w:rPr>
        <w:t xml:space="preserve"> mais RINs do que o volume requerido para um determnado ano, ela pode vender a quantidade excedente para outra parte que não adquiriu RINs suficientes. Trata-se assim de um sistema similar ao “</w:t>
      </w:r>
      <w:r w:rsidRPr="000C4BF4">
        <w:rPr>
          <w:rFonts w:ascii="Times New Roman" w:hAnsi="Times New Roman" w:cs="Times New Roman"/>
          <w:i/>
          <w:sz w:val="24"/>
          <w:szCs w:val="24"/>
          <w:lang w:val="pt-PT"/>
        </w:rPr>
        <w:t>cap-and-trade</w:t>
      </w:r>
      <w:r w:rsidRPr="000C4BF4">
        <w:rPr>
          <w:rFonts w:ascii="Times New Roman" w:hAnsi="Times New Roman" w:cs="Times New Roman"/>
          <w:sz w:val="24"/>
          <w:szCs w:val="24"/>
          <w:lang w:val="pt-PT"/>
        </w:rPr>
        <w:t>”, em que o governo estipula metas a serem cumpridas, e as partes envolvidas comercializam os RINs, como se estes fossem uma commodity, respeitando os valores de conversão e as diferentes categorias.</w:t>
      </w:r>
      <w:r>
        <w:rPr>
          <w:rFonts w:ascii="Times New Roman" w:hAnsi="Times New Roman" w:cs="Times New Roman"/>
          <w:sz w:val="24"/>
          <w:szCs w:val="24"/>
          <w:lang w:val="pt-PT"/>
        </w:rPr>
        <w:t xml:space="preserve"> O sistema inclusive incentiva agentes não sujeitos às metas (um usuário final, por exemplo) a adquirirem combustíveis renováveis, uma vez que os RINs podem ser comercializados e reduzir o custo dos combustíveis</w:t>
      </w:r>
      <w:r>
        <w:rPr>
          <w:rStyle w:val="Refdenotaderodap"/>
          <w:rFonts w:ascii="Times New Roman" w:hAnsi="Times New Roman" w:cs="Times New Roman"/>
          <w:sz w:val="24"/>
          <w:szCs w:val="24"/>
          <w:lang w:val="pt-PT"/>
        </w:rPr>
        <w:footnoteReference w:id="27"/>
      </w:r>
      <w:r>
        <w:rPr>
          <w:rFonts w:ascii="Times New Roman" w:hAnsi="Times New Roman" w:cs="Times New Roman"/>
          <w:sz w:val="24"/>
          <w:szCs w:val="24"/>
          <w:lang w:val="pt-PT"/>
        </w:rPr>
        <w:t>.</w:t>
      </w: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D14E3A" w:rsidRDefault="00EE56DA" w:rsidP="00715F5B">
      <w:pPr>
        <w:spacing w:line="360" w:lineRule="auto"/>
        <w:ind w:firstLine="708"/>
        <w:rPr>
          <w:rFonts w:ascii="Times New Roman" w:hAnsi="Times New Roman" w:cs="Times New Roman"/>
          <w:sz w:val="24"/>
          <w:szCs w:val="24"/>
          <w:lang w:val="pt-PT"/>
        </w:rPr>
      </w:pPr>
      <w:r>
        <w:rPr>
          <w:rFonts w:ascii="Times New Roman" w:hAnsi="Times New Roman" w:cs="Times New Roman"/>
          <w:noProof/>
          <w:sz w:val="24"/>
          <w:szCs w:val="24"/>
          <w:lang w:eastAsia="pt-BR"/>
        </w:rPr>
        <w:lastRenderedPageBreak/>
        <w:pict>
          <v:shape id="_x0000_s1038" type="#_x0000_t202" style="position:absolute;left:0;text-align:left;margin-left:-5.55pt;margin-top:.45pt;width:441.75pt;height:636pt;z-index:251665408;mso-width-relative:margin;mso-height-relative:margin">
            <v:textbox style="mso-next-textbox:#_x0000_s1038">
              <w:txbxContent>
                <w:p w:rsidR="00A57446" w:rsidRPr="005C40DD" w:rsidRDefault="00A57446" w:rsidP="00715F5B">
                  <w:pPr>
                    <w:spacing w:line="360" w:lineRule="auto"/>
                    <w:jc w:val="center"/>
                    <w:rPr>
                      <w:rFonts w:ascii="Times New Roman" w:hAnsi="Times New Roman" w:cs="Times New Roman"/>
                      <w:b/>
                      <w:sz w:val="24"/>
                      <w:szCs w:val="24"/>
                      <w:lang w:val="pt-PT"/>
                    </w:rPr>
                  </w:pPr>
                  <w:r>
                    <w:rPr>
                      <w:rFonts w:ascii="Times New Roman" w:hAnsi="Times New Roman" w:cs="Times New Roman"/>
                      <w:b/>
                      <w:sz w:val="24"/>
                      <w:szCs w:val="24"/>
                      <w:lang w:val="pt-PT"/>
                    </w:rPr>
                    <w:t>Quadro</w:t>
                  </w:r>
                  <w:r w:rsidRPr="005C40DD">
                    <w:rPr>
                      <w:rFonts w:ascii="Times New Roman" w:hAnsi="Times New Roman" w:cs="Times New Roman"/>
                      <w:b/>
                      <w:sz w:val="24"/>
                      <w:szCs w:val="24"/>
                      <w:lang w:val="pt-PT"/>
                    </w:rPr>
                    <w:t xml:space="preserve"> 2. O comércio de RINs como mecanismo de flexibilidade no RFS2</w:t>
                  </w:r>
                </w:p>
                <w:p w:rsidR="00A57446" w:rsidRDefault="00A57446" w:rsidP="00715F5B">
                  <w:pPr>
                    <w:spacing w:line="360" w:lineRule="auto"/>
                    <w:ind w:firstLine="708"/>
                    <w:rPr>
                      <w:rFonts w:ascii="Times New Roman" w:hAnsi="Times New Roman" w:cs="Times New Roman"/>
                      <w:sz w:val="24"/>
                      <w:szCs w:val="24"/>
                      <w:lang w:val="pt-PT"/>
                    </w:rPr>
                  </w:pPr>
                </w:p>
                <w:p w:rsidR="00A57446" w:rsidRDefault="00A57446"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Considerando a dificuldade de se estabelecer o nível apropriado para um imposto ambiental semelhante à conhecida taxa de Pigou, Baumol e Oates (1971) sugeriram um método alternativo de estabelecimento metas e precificação ambiental que, embora </w:t>
                  </w:r>
                  <w:r w:rsidRPr="00914687">
                    <w:rPr>
                      <w:rFonts w:ascii="Times New Roman" w:hAnsi="Times New Roman" w:cs="Times New Roman"/>
                      <w:sz w:val="24"/>
                      <w:szCs w:val="24"/>
                      <w:lang w:val="pt-PT"/>
                    </w:rPr>
                    <w:t xml:space="preserve">não </w:t>
                  </w:r>
                  <w:r>
                    <w:rPr>
                      <w:rFonts w:ascii="Times New Roman" w:hAnsi="Times New Roman" w:cs="Times New Roman"/>
                      <w:sz w:val="24"/>
                      <w:szCs w:val="24"/>
                      <w:lang w:val="pt-PT"/>
                    </w:rPr>
                    <w:t>implique um</w:t>
                  </w:r>
                  <w:r w:rsidRPr="00914687">
                    <w:rPr>
                      <w:rFonts w:ascii="Times New Roman" w:hAnsi="Times New Roman" w:cs="Times New Roman"/>
                      <w:sz w:val="24"/>
                      <w:szCs w:val="24"/>
                      <w:lang w:val="pt-PT"/>
                    </w:rPr>
                    <w:t>a alocação óti</w:t>
                  </w:r>
                  <w:r>
                    <w:rPr>
                      <w:rFonts w:ascii="Times New Roman" w:hAnsi="Times New Roman" w:cs="Times New Roman"/>
                      <w:sz w:val="24"/>
                      <w:szCs w:val="24"/>
                      <w:lang w:val="pt-PT"/>
                    </w:rPr>
                    <w:t>ma de recursos (no sentido de Pareto), possui</w:t>
                  </w:r>
                  <w:r w:rsidRPr="00914687">
                    <w:rPr>
                      <w:rFonts w:ascii="Times New Roman" w:hAnsi="Times New Roman" w:cs="Times New Roman"/>
                      <w:sz w:val="24"/>
                      <w:szCs w:val="24"/>
                      <w:lang w:val="pt-PT"/>
                    </w:rPr>
                    <w:t xml:space="preserve"> algumas proprie</w:t>
                  </w:r>
                  <w:r>
                    <w:rPr>
                      <w:rFonts w:ascii="Times New Roman" w:hAnsi="Times New Roman" w:cs="Times New Roman"/>
                      <w:sz w:val="24"/>
                      <w:szCs w:val="24"/>
                      <w:lang w:val="pt-PT"/>
                    </w:rPr>
                    <w:t xml:space="preserve">dades importantes. O método envolve o estabelecimento arbitrário de um padrão ambiental de qualidade (quantidade de emissões de GEE, de poluentes na água, ou, neste caso, de biocombustíveis a serem consumidos) e o estabelecimento de taxas para que esse padrão seja atingido. </w:t>
                  </w:r>
                </w:p>
                <w:p w:rsidR="00A57446" w:rsidRDefault="00A57446"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Entre  as vantagens do método está o fato de que, para qualquer vetor final de produto, os preços (da utilização do recurso ambiental) fazem com que o padrão ambiental estabelecido seja atingido ao menor custo para a economia. </w:t>
                  </w:r>
                </w:p>
                <w:p w:rsidR="00A57446" w:rsidRDefault="00A57446" w:rsidP="00715F5B">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ab/>
                    <w:t>Assim como o comércio de emissões, o comércio de RINs é um mecanismo que dá flexibilidade às partes obrigadas (refinarias e blenders, no caso) para que estas atendam às metas de consumo.  Ele permite que o consumo efetivo dos combustíveis renováveis ocorra ao menor custo para a economia, levando em consideração diferenças regionais na produção e disponibilidade destes combustíveis. Uma refinaria que adquiriu quantidade superior de combustível celulósico à que estava obrigada pode vender os RINs excedente a outra parte que não conseguiu atender à meta durante o período corrente ou optou por usá-la no período seguinte (SCHNEPF; YACOBUCCI, 2010).</w:t>
                  </w:r>
                </w:p>
                <w:p w:rsidR="00A57446" w:rsidRDefault="00A57446" w:rsidP="00715F5B">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ab/>
                    <w:t>Seguindo a lógica do comércio de emissões de GEE que se baseia no fato de que estes têm efeitos em nível global, não importa a localidade em que se consome o combustível renovável (ou onde se emite os GEE). O que importa é a quantidade final consumida pela economia como um todo.</w:t>
                  </w:r>
                </w:p>
                <w:p w:rsidR="00A57446" w:rsidRDefault="00A57446" w:rsidP="00715F5B">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ab/>
                    <w:t xml:space="preserve"> A figura a seguir mostra como as metas definidas pela EPA podem afetar o preço dos RINs. Para uma dada categoria de combustível renovável, quando a quantidade ofertada (equivalente à produção interna mais importações) for superior à quantidade estabelecida como meta, as partes obrigadas não terão dificuldades para cumprir o mandato e o preço do RIN será zero no nível do mandato (Q</w:t>
                  </w:r>
                  <w:r w:rsidRPr="00BA4079">
                    <w:rPr>
                      <w:rFonts w:ascii="Times New Roman" w:hAnsi="Times New Roman" w:cs="Times New Roman"/>
                      <w:sz w:val="24"/>
                      <w:szCs w:val="24"/>
                      <w:vertAlign w:val="subscript"/>
                      <w:lang w:val="pt-PT"/>
                    </w:rPr>
                    <w:t>RFS</w:t>
                  </w:r>
                  <w:r>
                    <w:rPr>
                      <w:rFonts w:ascii="Times New Roman" w:hAnsi="Times New Roman" w:cs="Times New Roman"/>
                      <w:sz w:val="24"/>
                      <w:szCs w:val="24"/>
                      <w:lang w:val="pt-PT"/>
                    </w:rPr>
                    <w:t>).</w:t>
                  </w:r>
                </w:p>
                <w:p w:rsidR="00A57446" w:rsidRDefault="00A57446" w:rsidP="00715F5B">
                  <w:pPr>
                    <w:spacing w:line="360" w:lineRule="auto"/>
                    <w:rPr>
                      <w:rFonts w:ascii="Times New Roman" w:hAnsi="Times New Roman" w:cs="Times New Roman"/>
                      <w:sz w:val="24"/>
                      <w:szCs w:val="24"/>
                      <w:lang w:val="pt-PT"/>
                    </w:rPr>
                  </w:pPr>
                </w:p>
              </w:txbxContent>
            </v:textbox>
          </v:shape>
        </w:pict>
      </w: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Pr="000C4BF4" w:rsidRDefault="00715F5B" w:rsidP="00715F5B">
      <w:pPr>
        <w:spacing w:line="360" w:lineRule="auto"/>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EE56DA" w:rsidP="00715F5B">
      <w:pPr>
        <w:spacing w:line="360" w:lineRule="auto"/>
        <w:ind w:firstLine="708"/>
        <w:rPr>
          <w:rFonts w:ascii="Times New Roman" w:hAnsi="Times New Roman" w:cs="Times New Roman"/>
          <w:sz w:val="24"/>
          <w:szCs w:val="24"/>
          <w:lang w:val="pt-PT"/>
        </w:rPr>
      </w:pPr>
      <w:r>
        <w:rPr>
          <w:rFonts w:ascii="Times New Roman" w:hAnsi="Times New Roman" w:cs="Times New Roman"/>
          <w:noProof/>
          <w:sz w:val="24"/>
          <w:szCs w:val="24"/>
          <w:lang w:eastAsia="pt-BR"/>
        </w:rPr>
        <w:lastRenderedPageBreak/>
        <w:pict>
          <v:shape id="_x0000_s1039" type="#_x0000_t202" style="position:absolute;left:0;text-align:left;margin-left:-10.8pt;margin-top:-4.8pt;width:450.75pt;height:705.3pt;z-index:251666432;mso-width-relative:margin;mso-height-relative:margin">
            <v:textbox>
              <w:txbxContent>
                <w:p w:rsidR="00A57446" w:rsidRPr="008D3CCD" w:rsidRDefault="00A57446" w:rsidP="00715F5B">
                  <w:pPr>
                    <w:spacing w:line="360" w:lineRule="auto"/>
                    <w:jc w:val="center"/>
                    <w:rPr>
                      <w:rFonts w:ascii="Times New Roman" w:hAnsi="Times New Roman" w:cs="Times New Roman"/>
                      <w:b/>
                      <w:sz w:val="24"/>
                      <w:szCs w:val="24"/>
                      <w:lang w:val="pt-PT"/>
                    </w:rPr>
                  </w:pPr>
                  <w:r w:rsidRPr="008D3CCD">
                    <w:rPr>
                      <w:rFonts w:ascii="Times New Roman" w:hAnsi="Times New Roman" w:cs="Times New Roman"/>
                      <w:b/>
                      <w:sz w:val="24"/>
                      <w:szCs w:val="24"/>
                      <w:lang w:val="pt-PT"/>
                    </w:rPr>
                    <w:t>Preço dos RINs em mandato não efetivo</w:t>
                  </w:r>
                  <w:r>
                    <w:rPr>
                      <w:rFonts w:ascii="Times New Roman" w:hAnsi="Times New Roman" w:cs="Times New Roman"/>
                      <w:b/>
                      <w:sz w:val="24"/>
                      <w:szCs w:val="24"/>
                      <w:lang w:val="pt-PT"/>
                    </w:rPr>
                    <w:t xml:space="preserve"> (</w:t>
                  </w:r>
                  <w:r w:rsidRPr="007C055B">
                    <w:rPr>
                      <w:rFonts w:ascii="Times New Roman" w:hAnsi="Times New Roman" w:cs="Times New Roman"/>
                      <w:b/>
                      <w:i/>
                      <w:sz w:val="24"/>
                      <w:szCs w:val="24"/>
                      <w:lang w:val="pt-PT"/>
                    </w:rPr>
                    <w:t>non-binding</w:t>
                  </w:r>
                  <w:r>
                    <w:rPr>
                      <w:rFonts w:ascii="Times New Roman" w:hAnsi="Times New Roman" w:cs="Times New Roman"/>
                      <w:b/>
                      <w:sz w:val="24"/>
                      <w:szCs w:val="24"/>
                      <w:lang w:val="pt-PT"/>
                    </w:rPr>
                    <w:t>)</w:t>
                  </w:r>
                  <w:r w:rsidRPr="008D3CCD">
                    <w:rPr>
                      <w:rFonts w:ascii="Times New Roman" w:hAnsi="Times New Roman" w:cs="Times New Roman"/>
                      <w:b/>
                      <w:sz w:val="24"/>
                      <w:szCs w:val="24"/>
                      <w:lang w:val="pt-PT"/>
                    </w:rPr>
                    <w:t xml:space="preserve"> e efetivo</w:t>
                  </w:r>
                  <w:r>
                    <w:rPr>
                      <w:rFonts w:ascii="Times New Roman" w:hAnsi="Times New Roman" w:cs="Times New Roman"/>
                      <w:b/>
                      <w:sz w:val="24"/>
                      <w:szCs w:val="24"/>
                      <w:lang w:val="pt-PT"/>
                    </w:rPr>
                    <w:t xml:space="preserve"> (</w:t>
                  </w:r>
                  <w:r w:rsidRPr="007C055B">
                    <w:rPr>
                      <w:rFonts w:ascii="Times New Roman" w:hAnsi="Times New Roman" w:cs="Times New Roman"/>
                      <w:b/>
                      <w:i/>
                      <w:sz w:val="24"/>
                      <w:szCs w:val="24"/>
                      <w:lang w:val="pt-PT"/>
                    </w:rPr>
                    <w:t>binding</w:t>
                  </w:r>
                  <w:r>
                    <w:rPr>
                      <w:rFonts w:ascii="Times New Roman" w:hAnsi="Times New Roman" w:cs="Times New Roman"/>
                      <w:b/>
                      <w:sz w:val="24"/>
                      <w:szCs w:val="24"/>
                      <w:lang w:val="pt-PT"/>
                    </w:rPr>
                    <w:t>)</w:t>
                  </w:r>
                </w:p>
                <w:p w:rsidR="00A57446" w:rsidRDefault="00A57446" w:rsidP="00715F5B">
                  <w:pPr>
                    <w:spacing w:line="360" w:lineRule="auto"/>
                    <w:jc w:val="center"/>
                    <w:rPr>
                      <w:rFonts w:ascii="Times New Roman" w:hAnsi="Times New Roman" w:cs="Times New Roman"/>
                      <w:sz w:val="24"/>
                      <w:szCs w:val="24"/>
                      <w:lang w:val="pt-PT"/>
                    </w:rPr>
                  </w:pPr>
                  <w:r w:rsidRPr="0023702B">
                    <w:rPr>
                      <w:rFonts w:ascii="Times New Roman" w:hAnsi="Times New Roman" w:cs="Times New Roman"/>
                      <w:noProof/>
                      <w:sz w:val="24"/>
                      <w:szCs w:val="24"/>
                      <w:lang w:eastAsia="pt-BR"/>
                    </w:rPr>
                    <w:drawing>
                      <wp:inline distT="0" distB="0" distL="0" distR="0">
                        <wp:extent cx="5324475" cy="3048000"/>
                        <wp:effectExtent l="0" t="0" r="0" b="0"/>
                        <wp:docPr id="18" name="Objeto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100201" cy="3492581"/>
                                  <a:chOff x="769080" y="542680"/>
                                  <a:chExt cx="6100201" cy="3492581"/>
                                </a:xfrm>
                              </a:grpSpPr>
                              <a:grpSp>
                                <a:nvGrpSpPr>
                                  <a:cNvPr id="55" name="Grupo 54"/>
                                  <a:cNvGrpSpPr/>
                                </a:nvGrpSpPr>
                                <a:grpSpPr>
                                  <a:xfrm>
                                    <a:off x="769080" y="542680"/>
                                    <a:ext cx="6100201" cy="3492581"/>
                                    <a:chOff x="769080" y="542680"/>
                                    <a:chExt cx="6100201" cy="3492581"/>
                                  </a:xfrm>
                                </a:grpSpPr>
                                <a:grpSp>
                                  <a:nvGrpSpPr>
                                    <a:cNvPr id="3" name="Grupo 50"/>
                                    <a:cNvGrpSpPr/>
                                  </a:nvGrpSpPr>
                                  <a:grpSpPr>
                                    <a:xfrm>
                                      <a:off x="3795286" y="1052736"/>
                                      <a:ext cx="3073995" cy="2982525"/>
                                      <a:chOff x="4312846" y="1052736"/>
                                      <a:chExt cx="3073995" cy="2982525"/>
                                    </a:xfrm>
                                  </a:grpSpPr>
                                  <a:cxnSp>
                                    <a:nvCxnSpPr>
                                      <a:cNvPr id="34" name="Conector de seta reta 33"/>
                                      <a:cNvCxnSpPr/>
                                    </a:nvCxnSpPr>
                                    <a:spPr>
                                      <a:xfrm flipV="1">
                                        <a:off x="4716016" y="1340768"/>
                                        <a:ext cx="0" cy="230425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5" name="Conector de seta reta 34"/>
                                      <a:cNvCxnSpPr/>
                                    </a:nvCxnSpPr>
                                    <a:spPr>
                                      <a:xfrm>
                                        <a:off x="4716016" y="3645024"/>
                                        <a:ext cx="2448272" cy="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6" name="Conector reto 35"/>
                                      <a:cNvCxnSpPr/>
                                    </a:nvCxnSpPr>
                                    <a:spPr>
                                      <a:xfrm flipV="1">
                                        <a:off x="5004048" y="1340768"/>
                                        <a:ext cx="1944216" cy="1800200"/>
                                      </a:xfrm>
                                      <a:prstGeom prst="line">
                                        <a:avLst/>
                                      </a:prstGeom>
                                      <a:ln w="19050">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37" name="Conector reto 36"/>
                                      <a:cNvCxnSpPr/>
                                    </a:nvCxnSpPr>
                                    <a:spPr>
                                      <a:xfrm>
                                        <a:off x="5004048" y="1412776"/>
                                        <a:ext cx="1944216" cy="1800200"/>
                                      </a:xfrm>
                                      <a:prstGeom prst="line">
                                        <a:avLst/>
                                      </a:prstGeom>
                                      <a:ln w="19050">
                                        <a:solidFill>
                                          <a:srgbClr val="002060"/>
                                        </a:solidFill>
                                      </a:ln>
                                    </a:spPr>
                                    <a:style>
                                      <a:lnRef idx="1">
                                        <a:schemeClr val="accent1"/>
                                      </a:lnRef>
                                      <a:fillRef idx="0">
                                        <a:schemeClr val="accent1"/>
                                      </a:fillRef>
                                      <a:effectRef idx="0">
                                        <a:schemeClr val="accent1"/>
                                      </a:effectRef>
                                      <a:fontRef idx="minor">
                                        <a:schemeClr val="tx1"/>
                                      </a:fontRef>
                                    </a:style>
                                  </a:cxnSp>
                                  <a:cxnSp>
                                    <a:nvCxnSpPr>
                                      <a:cNvPr id="38" name="Conector reto 37"/>
                                      <a:cNvCxnSpPr/>
                                    </a:nvCxnSpPr>
                                    <a:spPr>
                                      <a:xfrm>
                                        <a:off x="6357988" y="1340768"/>
                                        <a:ext cx="0" cy="2304256"/>
                                      </a:xfrm>
                                      <a:prstGeom prst="line">
                                        <a:avLst/>
                                      </a:prstGeom>
                                      <a:ln>
                                        <a:prstDash val="sysDot"/>
                                      </a:ln>
                                    </a:spPr>
                                    <a:style>
                                      <a:lnRef idx="1">
                                        <a:schemeClr val="accent1"/>
                                      </a:lnRef>
                                      <a:fillRef idx="0">
                                        <a:schemeClr val="accent1"/>
                                      </a:fillRef>
                                      <a:effectRef idx="0">
                                        <a:schemeClr val="accent1"/>
                                      </a:effectRef>
                                      <a:fontRef idx="minor">
                                        <a:schemeClr val="tx1"/>
                                      </a:fontRef>
                                    </a:style>
                                  </a:cxnSp>
                                  <a:cxnSp>
                                    <a:nvCxnSpPr>
                                      <a:cNvPr id="39" name="Conector reto 38"/>
                                      <a:cNvCxnSpPr/>
                                    </a:nvCxnSpPr>
                                    <a:spPr>
                                      <a:xfrm>
                                        <a:off x="5940152" y="2276872"/>
                                        <a:ext cx="0" cy="1368152"/>
                                      </a:xfrm>
                                      <a:prstGeom prst="line">
                                        <a:avLst/>
                                      </a:prstGeom>
                                      <a:ln>
                                        <a:solidFill>
                                          <a:schemeClr val="tx1"/>
                                        </a:solidFill>
                                        <a:prstDash val="sysDot"/>
                                      </a:ln>
                                    </a:spPr>
                                    <a:style>
                                      <a:lnRef idx="1">
                                        <a:schemeClr val="accent1"/>
                                      </a:lnRef>
                                      <a:fillRef idx="0">
                                        <a:schemeClr val="accent1"/>
                                      </a:fillRef>
                                      <a:effectRef idx="0">
                                        <a:schemeClr val="accent1"/>
                                      </a:effectRef>
                                      <a:fontRef idx="minor">
                                        <a:schemeClr val="tx1"/>
                                      </a:fontRef>
                                    </a:style>
                                  </a:cxnSp>
                                  <a:cxnSp>
                                    <a:nvCxnSpPr>
                                      <a:cNvPr id="40" name="Conector reto 39"/>
                                      <a:cNvCxnSpPr/>
                                    </a:nvCxnSpPr>
                                    <a:spPr>
                                      <a:xfrm flipH="1">
                                        <a:off x="4716016" y="2276872"/>
                                        <a:ext cx="1224136" cy="0"/>
                                      </a:xfrm>
                                      <a:prstGeom prst="line">
                                        <a:avLst/>
                                      </a:prstGeom>
                                      <a:ln>
                                        <a:solidFill>
                                          <a:schemeClr val="tx1"/>
                                        </a:solidFill>
                                        <a:prstDash val="sysDot"/>
                                      </a:ln>
                                    </a:spPr>
                                    <a:style>
                                      <a:lnRef idx="1">
                                        <a:schemeClr val="accent1"/>
                                      </a:lnRef>
                                      <a:fillRef idx="0">
                                        <a:schemeClr val="accent1"/>
                                      </a:fillRef>
                                      <a:effectRef idx="0">
                                        <a:schemeClr val="accent1"/>
                                      </a:effectRef>
                                      <a:fontRef idx="minor">
                                        <a:schemeClr val="tx1"/>
                                      </a:fontRef>
                                    </a:style>
                                  </a:cxnSp>
                                  <a:sp>
                                    <a:nvSpPr>
                                      <a:cNvPr id="41" name="CaixaDeTexto 40"/>
                                      <a:cNvSpPr txBox="1"/>
                                    </a:nvSpPr>
                                    <a:spPr>
                                      <a:xfrm>
                                        <a:off x="4312846" y="1052736"/>
                                        <a:ext cx="481222" cy="246221"/>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PT" sz="1000" dirty="0" smtClean="0"/>
                                            <a:t>Preço</a:t>
                                          </a:r>
                                          <a:endParaRPr lang="pt-BR" sz="1000" dirty="0"/>
                                        </a:p>
                                      </a:txBody>
                                      <a:useSpRect/>
                                    </a:txSp>
                                  </a:sp>
                                  <a:sp>
                                    <a:nvSpPr>
                                      <a:cNvPr id="42" name="CaixaDeTexto 41"/>
                                      <a:cNvSpPr txBox="1"/>
                                    </a:nvSpPr>
                                    <a:spPr>
                                      <a:xfrm>
                                        <a:off x="6588224" y="3789040"/>
                                        <a:ext cx="798617" cy="246221"/>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PT" sz="1000" dirty="0" smtClean="0"/>
                                            <a:t>Quantidade</a:t>
                                          </a:r>
                                          <a:endParaRPr lang="pt-BR" sz="1000" dirty="0"/>
                                        </a:p>
                                      </a:txBody>
                                      <a:useSpRect/>
                                    </a:txSp>
                                  </a:sp>
                                  <a:sp>
                                    <a:nvSpPr>
                                      <a:cNvPr id="43" name="CaixaDeTexto 42"/>
                                      <a:cNvSpPr txBox="1"/>
                                    </a:nvSpPr>
                                    <a:spPr>
                                      <a:xfrm>
                                        <a:off x="6300192" y="1196752"/>
                                        <a:ext cx="521297" cy="246221"/>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PT" sz="1000" dirty="0" smtClean="0">
                                              <a:solidFill>
                                                <a:srgbClr val="FF0000"/>
                                              </a:solidFill>
                                            </a:rPr>
                                            <a:t>Oferta</a:t>
                                          </a:r>
                                          <a:endParaRPr lang="pt-BR" sz="1000" dirty="0">
                                            <a:solidFill>
                                              <a:srgbClr val="FF0000"/>
                                            </a:solidFill>
                                          </a:endParaRPr>
                                        </a:p>
                                      </a:txBody>
                                      <a:useSpRect/>
                                    </a:txSp>
                                  </a:sp>
                                  <a:sp>
                                    <a:nvSpPr>
                                      <a:cNvPr id="44" name="CaixaDeTexto 43"/>
                                      <a:cNvSpPr txBox="1"/>
                                    </a:nvSpPr>
                                    <a:spPr>
                                      <a:xfrm>
                                        <a:off x="6444208" y="3284984"/>
                                        <a:ext cx="686406" cy="246221"/>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PT" sz="1000" dirty="0" smtClean="0">
                                              <a:solidFill>
                                                <a:schemeClr val="tx2"/>
                                              </a:solidFill>
                                            </a:rPr>
                                            <a:t>Demanda</a:t>
                                          </a:r>
                                          <a:endParaRPr lang="pt-BR" sz="1000" dirty="0">
                                            <a:solidFill>
                                              <a:schemeClr val="tx2"/>
                                            </a:solidFill>
                                          </a:endParaRPr>
                                        </a:p>
                                      </a:txBody>
                                      <a:useSpRect/>
                                    </a:txSp>
                                  </a:sp>
                                  <a:sp>
                                    <a:nvSpPr>
                                      <a:cNvPr id="45" name="CaixaDeTexto 44"/>
                                      <a:cNvSpPr txBox="1"/>
                                    </a:nvSpPr>
                                    <a:spPr>
                                      <a:xfrm>
                                        <a:off x="4355976" y="2132856"/>
                                        <a:ext cx="314510" cy="246221"/>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PT" sz="1000" dirty="0" smtClean="0"/>
                                            <a:t>P*</a:t>
                                          </a:r>
                                          <a:endParaRPr lang="pt-BR" sz="1000" dirty="0"/>
                                        </a:p>
                                      </a:txBody>
                                      <a:useSpRect/>
                                    </a:txSp>
                                  </a:sp>
                                  <a:sp>
                                    <a:nvSpPr>
                                      <a:cNvPr id="46" name="CaixaDeTexto 45"/>
                                      <a:cNvSpPr txBox="1"/>
                                    </a:nvSpPr>
                                    <a:spPr>
                                      <a:xfrm>
                                        <a:off x="5868144" y="3717032"/>
                                        <a:ext cx="335348" cy="246221"/>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PT" sz="1000" dirty="0" smtClean="0"/>
                                            <a:t>Q*</a:t>
                                          </a:r>
                                          <a:endParaRPr lang="pt-BR" sz="1000" dirty="0"/>
                                        </a:p>
                                      </a:txBody>
                                      <a:useSpRect/>
                                    </a:txSp>
                                  </a:sp>
                                  <a:sp>
                                    <a:nvSpPr>
                                      <a:cNvPr id="47" name="CaixaDeTexto 46"/>
                                      <a:cNvSpPr txBox="1"/>
                                    </a:nvSpPr>
                                    <a:spPr>
                                      <a:xfrm>
                                        <a:off x="6228184" y="3717032"/>
                                        <a:ext cx="394660" cy="246221"/>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PT" sz="1000" dirty="0" smtClean="0"/>
                                            <a:t>Q</a:t>
                                          </a:r>
                                          <a:r>
                                            <a:rPr lang="pt-PT" sz="1000" baseline="-25000" dirty="0" smtClean="0"/>
                                            <a:t>RFS</a:t>
                                          </a:r>
                                          <a:endParaRPr lang="pt-BR" sz="1000" baseline="-25000" dirty="0"/>
                                        </a:p>
                                      </a:txBody>
                                      <a:useSpRect/>
                                    </a:txSp>
                                  </a:sp>
                                  <a:sp>
                                    <a:nvSpPr>
                                      <a:cNvPr id="48" name="Chave direita 47"/>
                                      <a:cNvSpPr/>
                                    </a:nvSpPr>
                                    <a:spPr>
                                      <a:xfrm>
                                        <a:off x="6417704" y="1916832"/>
                                        <a:ext cx="242528" cy="720080"/>
                                      </a:xfrm>
                                      <a:prstGeom prst="rightBrace">
                                        <a:avLst>
                                          <a:gd name="adj1" fmla="val 26756"/>
                                          <a:gd name="adj2" fmla="val 51840"/>
                                        </a:avLst>
                                      </a:prstGeom>
                                      <a:ln w="19050">
                                        <a:solidFill>
                                          <a:schemeClr val="tx1"/>
                                        </a:solidFill>
                                      </a:ln>
                                    </a:spPr>
                                    <a:txSp>
                                      <a:txBody>
                                        <a:bodyPr rtlCol="0" anchor="ct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pt-BR" dirty="0"/>
                                        </a:p>
                                      </a:txBody>
                                      <a:useSpRect/>
                                    </a:txSp>
                                    <a:style>
                                      <a:lnRef idx="1">
                                        <a:schemeClr val="accent1"/>
                                      </a:lnRef>
                                      <a:fillRef idx="0">
                                        <a:schemeClr val="accent1"/>
                                      </a:fillRef>
                                      <a:effectRef idx="0">
                                        <a:schemeClr val="accent1"/>
                                      </a:effectRef>
                                      <a:fontRef idx="minor">
                                        <a:schemeClr val="tx1"/>
                                      </a:fontRef>
                                    </a:style>
                                  </a:sp>
                                  <a:sp>
                                    <a:nvSpPr>
                                      <a:cNvPr id="49" name="CaixaDeTexto 48"/>
                                      <a:cNvSpPr txBox="1"/>
                                    </a:nvSpPr>
                                    <a:spPr>
                                      <a:xfrm>
                                        <a:off x="6804248" y="2132856"/>
                                        <a:ext cx="405880" cy="276999"/>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PT" sz="1200" dirty="0" smtClean="0"/>
                                            <a:t>RIN</a:t>
                                          </a:r>
                                          <a:endParaRPr lang="pt-BR" sz="1200" dirty="0"/>
                                        </a:p>
                                      </a:txBody>
                                      <a:useSpRect/>
                                    </a:txSp>
                                  </a:sp>
                                  <a:cxnSp>
                                    <a:nvCxnSpPr>
                                      <a:cNvPr id="50" name="Conector reto 49"/>
                                      <a:cNvCxnSpPr/>
                                    </a:nvCxnSpPr>
                                    <a:spPr>
                                      <a:xfrm flipH="1">
                                        <a:off x="4716016" y="1887954"/>
                                        <a:ext cx="1656184" cy="20252"/>
                                      </a:xfrm>
                                      <a:prstGeom prst="line">
                                        <a:avLst/>
                                      </a:prstGeom>
                                      <a:ln>
                                        <a:solidFill>
                                          <a:schemeClr val="tx1"/>
                                        </a:solidFill>
                                        <a:prstDash val="sysDash"/>
                                      </a:ln>
                                    </a:spPr>
                                    <a:style>
                                      <a:lnRef idx="1">
                                        <a:schemeClr val="accent1"/>
                                      </a:lnRef>
                                      <a:fillRef idx="0">
                                        <a:schemeClr val="accent1"/>
                                      </a:fillRef>
                                      <a:effectRef idx="0">
                                        <a:schemeClr val="accent1"/>
                                      </a:effectRef>
                                      <a:fontRef idx="minor">
                                        <a:schemeClr val="tx1"/>
                                      </a:fontRef>
                                    </a:style>
                                  </a:cxnSp>
                                  <a:cxnSp>
                                    <a:nvCxnSpPr>
                                      <a:cNvPr id="52" name="Conector reto 51"/>
                                      <a:cNvCxnSpPr/>
                                    </a:nvCxnSpPr>
                                    <a:spPr>
                                      <a:xfrm flipH="1">
                                        <a:off x="4730400" y="2636912"/>
                                        <a:ext cx="1569792" cy="27514"/>
                                      </a:xfrm>
                                      <a:prstGeom prst="line">
                                        <a:avLst/>
                                      </a:prstGeom>
                                      <a:ln>
                                        <a:solidFill>
                                          <a:schemeClr val="tx1"/>
                                        </a:solidFill>
                                        <a:prstDash val="sysDash"/>
                                      </a:ln>
                                    </a:spPr>
                                    <a:style>
                                      <a:lnRef idx="1">
                                        <a:schemeClr val="accent1"/>
                                      </a:lnRef>
                                      <a:fillRef idx="0">
                                        <a:schemeClr val="accent1"/>
                                      </a:fillRef>
                                      <a:effectRef idx="0">
                                        <a:schemeClr val="accent1"/>
                                      </a:effectRef>
                                      <a:fontRef idx="minor">
                                        <a:schemeClr val="tx1"/>
                                      </a:fontRef>
                                    </a:style>
                                  </a:cxnSp>
                                </a:grpSp>
                                <a:grpSp>
                                  <a:nvGrpSpPr>
                                    <a:cNvPr id="4" name="Grupo 53"/>
                                    <a:cNvGrpSpPr/>
                                  </a:nvGrpSpPr>
                                  <a:grpSpPr>
                                    <a:xfrm>
                                      <a:off x="769080" y="542680"/>
                                      <a:ext cx="5315088" cy="3486581"/>
                                      <a:chOff x="769080" y="542680"/>
                                      <a:chExt cx="5315088" cy="3486581"/>
                                    </a:xfrm>
                                  </a:grpSpPr>
                                  <a:grpSp>
                                    <a:nvGrpSpPr>
                                      <a:cNvPr id="5" name="Grupo 31"/>
                                      <a:cNvGrpSpPr/>
                                    </a:nvGrpSpPr>
                                    <a:grpSpPr>
                                      <a:xfrm>
                                        <a:off x="769080" y="1046736"/>
                                        <a:ext cx="3030865" cy="2982525"/>
                                        <a:chOff x="899592" y="980728"/>
                                        <a:chExt cx="3030865" cy="2982525"/>
                                      </a:xfrm>
                                    </a:grpSpPr>
                                    <a:cxnSp>
                                      <a:nvCxnSpPr>
                                        <a:cNvPr id="2" name="Conector de seta reta 2"/>
                                        <a:cNvCxnSpPr/>
                                      </a:nvCxnSpPr>
                                      <a:spPr>
                                        <a:xfrm flipV="1">
                                          <a:off x="1259632" y="1268760"/>
                                          <a:ext cx="0" cy="230425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 name="Conector de seta reta 3"/>
                                        <a:cNvCxnSpPr/>
                                      </a:nvCxnSpPr>
                                      <a:spPr>
                                        <a:xfrm>
                                          <a:off x="1259632" y="3573016"/>
                                          <a:ext cx="2448272" cy="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 name="Conector reto 9"/>
                                        <a:cNvCxnSpPr/>
                                      </a:nvCxnSpPr>
                                      <a:spPr>
                                        <a:xfrm flipV="1">
                                          <a:off x="1547664" y="1268760"/>
                                          <a:ext cx="1944216" cy="1800200"/>
                                        </a:xfrm>
                                        <a:prstGeom prst="line">
                                          <a:avLst/>
                                        </a:prstGeom>
                                        <a:ln w="19050">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12" name="Conector reto 11"/>
                                        <a:cNvCxnSpPr/>
                                      </a:nvCxnSpPr>
                                      <a:spPr>
                                        <a:xfrm>
                                          <a:off x="1547664" y="1340768"/>
                                          <a:ext cx="1944216" cy="1800200"/>
                                        </a:xfrm>
                                        <a:prstGeom prst="line">
                                          <a:avLst/>
                                        </a:prstGeom>
                                        <a:ln w="19050">
                                          <a:solidFill>
                                            <a:srgbClr val="002060"/>
                                          </a:solidFill>
                                        </a:ln>
                                      </a:spPr>
                                      <a:style>
                                        <a:lnRef idx="1">
                                          <a:schemeClr val="accent1"/>
                                        </a:lnRef>
                                        <a:fillRef idx="0">
                                          <a:schemeClr val="accent1"/>
                                        </a:fillRef>
                                        <a:effectRef idx="0">
                                          <a:schemeClr val="accent1"/>
                                        </a:effectRef>
                                        <a:fontRef idx="minor">
                                          <a:schemeClr val="tx1"/>
                                        </a:fontRef>
                                      </a:style>
                                    </a:cxnSp>
                                    <a:cxnSp>
                                      <a:nvCxnSpPr>
                                        <a:cNvPr id="15" name="Conector reto 14"/>
                                        <a:cNvCxnSpPr/>
                                      </a:nvCxnSpPr>
                                      <a:spPr>
                                        <a:xfrm>
                                          <a:off x="1907704" y="1268760"/>
                                          <a:ext cx="0" cy="2304256"/>
                                        </a:xfrm>
                                        <a:prstGeom prst="line">
                                          <a:avLst/>
                                        </a:prstGeom>
                                        <a:ln>
                                          <a:prstDash val="sysDot"/>
                                        </a:ln>
                                      </a:spPr>
                                      <a:style>
                                        <a:lnRef idx="1">
                                          <a:schemeClr val="accent1"/>
                                        </a:lnRef>
                                        <a:fillRef idx="0">
                                          <a:schemeClr val="accent1"/>
                                        </a:fillRef>
                                        <a:effectRef idx="0">
                                          <a:schemeClr val="accent1"/>
                                        </a:effectRef>
                                        <a:fontRef idx="minor">
                                          <a:schemeClr val="tx1"/>
                                        </a:fontRef>
                                      </a:style>
                                    </a:cxnSp>
                                    <a:cxnSp>
                                      <a:nvCxnSpPr>
                                        <a:cNvPr id="16" name="Conector reto 15"/>
                                        <a:cNvCxnSpPr/>
                                      </a:nvCxnSpPr>
                                      <a:spPr>
                                        <a:xfrm>
                                          <a:off x="2483768" y="2204864"/>
                                          <a:ext cx="0" cy="1368152"/>
                                        </a:xfrm>
                                        <a:prstGeom prst="line">
                                          <a:avLst/>
                                        </a:prstGeom>
                                        <a:ln>
                                          <a:solidFill>
                                            <a:schemeClr val="tx1"/>
                                          </a:solidFill>
                                          <a:prstDash val="sysDot"/>
                                        </a:ln>
                                      </a:spPr>
                                      <a:style>
                                        <a:lnRef idx="1">
                                          <a:schemeClr val="accent1"/>
                                        </a:lnRef>
                                        <a:fillRef idx="0">
                                          <a:schemeClr val="accent1"/>
                                        </a:fillRef>
                                        <a:effectRef idx="0">
                                          <a:schemeClr val="accent1"/>
                                        </a:effectRef>
                                        <a:fontRef idx="minor">
                                          <a:schemeClr val="tx1"/>
                                        </a:fontRef>
                                      </a:style>
                                    </a:cxnSp>
                                    <a:cxnSp>
                                      <a:nvCxnSpPr>
                                        <a:cNvPr id="20" name="Conector reto 19"/>
                                        <a:cNvCxnSpPr/>
                                      </a:nvCxnSpPr>
                                      <a:spPr>
                                        <a:xfrm flipH="1">
                                          <a:off x="1259632" y="2204864"/>
                                          <a:ext cx="1224136" cy="0"/>
                                        </a:xfrm>
                                        <a:prstGeom prst="line">
                                          <a:avLst/>
                                        </a:prstGeom>
                                        <a:ln>
                                          <a:solidFill>
                                            <a:schemeClr val="tx1"/>
                                          </a:solidFill>
                                          <a:prstDash val="sysDot"/>
                                        </a:ln>
                                      </a:spPr>
                                      <a:style>
                                        <a:lnRef idx="1">
                                          <a:schemeClr val="accent1"/>
                                        </a:lnRef>
                                        <a:fillRef idx="0">
                                          <a:schemeClr val="accent1"/>
                                        </a:fillRef>
                                        <a:effectRef idx="0">
                                          <a:schemeClr val="accent1"/>
                                        </a:effectRef>
                                        <a:fontRef idx="minor">
                                          <a:schemeClr val="tx1"/>
                                        </a:fontRef>
                                      </a:style>
                                    </a:cxnSp>
                                    <a:sp>
                                      <a:nvSpPr>
                                        <a:cNvPr id="23" name="CaixaDeTexto 22"/>
                                        <a:cNvSpPr txBox="1"/>
                                      </a:nvSpPr>
                                      <a:spPr>
                                        <a:xfrm>
                                          <a:off x="899592" y="980728"/>
                                          <a:ext cx="481222" cy="246221"/>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PT" sz="1000" dirty="0" smtClean="0"/>
                                              <a:t>Preço</a:t>
                                            </a:r>
                                            <a:endParaRPr lang="pt-BR" sz="1000" dirty="0"/>
                                          </a:p>
                                        </a:txBody>
                                        <a:useSpRect/>
                                      </a:txSp>
                                    </a:sp>
                                    <a:sp>
                                      <a:nvSpPr>
                                        <a:cNvPr id="24" name="CaixaDeTexto 23"/>
                                        <a:cNvSpPr txBox="1"/>
                                      </a:nvSpPr>
                                      <a:spPr>
                                        <a:xfrm>
                                          <a:off x="3131840" y="3717032"/>
                                          <a:ext cx="798617" cy="246221"/>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PT" sz="1000" dirty="0" smtClean="0"/>
                                              <a:t>Quantidade</a:t>
                                            </a:r>
                                            <a:endParaRPr lang="pt-BR" sz="1000" dirty="0"/>
                                          </a:p>
                                        </a:txBody>
                                        <a:useSpRect/>
                                      </a:txSp>
                                    </a:sp>
                                    <a:sp>
                                      <a:nvSpPr>
                                        <a:cNvPr id="25" name="CaixaDeTexto 24"/>
                                        <a:cNvSpPr txBox="1"/>
                                      </a:nvSpPr>
                                      <a:spPr>
                                        <a:xfrm>
                                          <a:off x="2843808" y="1124744"/>
                                          <a:ext cx="521297" cy="246221"/>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PT" sz="1000" dirty="0" smtClean="0">
                                                <a:solidFill>
                                                  <a:srgbClr val="FF0000"/>
                                                </a:solidFill>
                                              </a:rPr>
                                              <a:t>Oferta</a:t>
                                            </a:r>
                                            <a:endParaRPr lang="pt-BR" sz="1000" dirty="0">
                                              <a:solidFill>
                                                <a:srgbClr val="FF0000"/>
                                              </a:solidFill>
                                            </a:endParaRPr>
                                          </a:p>
                                        </a:txBody>
                                        <a:useSpRect/>
                                      </a:txSp>
                                    </a:sp>
                                    <a:sp>
                                      <a:nvSpPr>
                                        <a:cNvPr id="26" name="CaixaDeTexto 25"/>
                                        <a:cNvSpPr txBox="1"/>
                                      </a:nvSpPr>
                                      <a:spPr>
                                        <a:xfrm>
                                          <a:off x="2987824" y="3212976"/>
                                          <a:ext cx="686406" cy="246221"/>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PT" sz="1000" dirty="0" smtClean="0">
                                                <a:solidFill>
                                                  <a:schemeClr val="tx2"/>
                                                </a:solidFill>
                                              </a:rPr>
                                              <a:t>Demanda</a:t>
                                            </a:r>
                                            <a:endParaRPr lang="pt-BR" sz="1000" dirty="0">
                                              <a:solidFill>
                                                <a:schemeClr val="tx2"/>
                                              </a:solidFill>
                                            </a:endParaRPr>
                                          </a:p>
                                        </a:txBody>
                                        <a:useSpRect/>
                                      </a:txSp>
                                    </a:sp>
                                    <a:sp>
                                      <a:nvSpPr>
                                        <a:cNvPr id="29" name="CaixaDeTexto 28"/>
                                        <a:cNvSpPr txBox="1"/>
                                      </a:nvSpPr>
                                      <a:spPr>
                                        <a:xfrm>
                                          <a:off x="899592" y="2060848"/>
                                          <a:ext cx="314510" cy="246221"/>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PT" sz="1000" dirty="0" smtClean="0"/>
                                              <a:t>P*</a:t>
                                            </a:r>
                                            <a:endParaRPr lang="pt-BR" sz="1000" dirty="0"/>
                                          </a:p>
                                        </a:txBody>
                                        <a:useSpRect/>
                                      </a:txSp>
                                    </a:sp>
                                    <a:sp>
                                      <a:nvSpPr>
                                        <a:cNvPr id="30" name="CaixaDeTexto 29"/>
                                        <a:cNvSpPr txBox="1"/>
                                      </a:nvSpPr>
                                      <a:spPr>
                                        <a:xfrm>
                                          <a:off x="2411760" y="3645024"/>
                                          <a:ext cx="335348" cy="246221"/>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PT" sz="1000" dirty="0" smtClean="0"/>
                                              <a:t>Q*</a:t>
                                            </a:r>
                                            <a:endParaRPr lang="pt-BR" sz="1000" dirty="0"/>
                                          </a:p>
                                        </a:txBody>
                                        <a:useSpRect/>
                                      </a:txSp>
                                    </a:sp>
                                    <a:sp>
                                      <a:nvSpPr>
                                        <a:cNvPr id="31" name="CaixaDeTexto 30"/>
                                        <a:cNvSpPr txBox="1"/>
                                      </a:nvSpPr>
                                      <a:spPr>
                                        <a:xfrm>
                                          <a:off x="1763688" y="3645024"/>
                                          <a:ext cx="394660" cy="246221"/>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PT" sz="1000" dirty="0" smtClean="0"/>
                                              <a:t>Q</a:t>
                                            </a:r>
                                            <a:r>
                                              <a:rPr lang="pt-PT" sz="1000" baseline="-25000" dirty="0" smtClean="0"/>
                                              <a:t>RFS</a:t>
                                            </a:r>
                                            <a:endParaRPr lang="pt-BR" sz="1000" baseline="-25000" dirty="0"/>
                                          </a:p>
                                        </a:txBody>
                                        <a:useSpRect/>
                                      </a:txSp>
                                    </a:sp>
                                  </a:grpSp>
                                  <a:grpSp>
                                    <a:nvGrpSpPr>
                                      <a:cNvPr id="6" name="Grupo 52"/>
                                      <a:cNvGrpSpPr/>
                                    </a:nvGrpSpPr>
                                    <a:grpSpPr>
                                      <a:xfrm>
                                        <a:off x="3563888" y="1772816"/>
                                        <a:ext cx="622159" cy="966301"/>
                                        <a:chOff x="3563888" y="1772816"/>
                                        <a:chExt cx="622159" cy="966301"/>
                                      </a:xfrm>
                                    </a:grpSpPr>
                                    <a:sp>
                                      <a:nvSpPr>
                                        <a:cNvPr id="56" name="CaixaDeTexto 55"/>
                                        <a:cNvSpPr txBox="1"/>
                                      </a:nvSpPr>
                                      <a:spPr>
                                        <a:xfrm>
                                          <a:off x="3563888" y="1772816"/>
                                          <a:ext cx="593432" cy="246221"/>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PT" sz="1000" dirty="0" smtClean="0"/>
                                              <a:t>P </a:t>
                                            </a:r>
                                            <a:r>
                                              <a:rPr lang="pt-PT" sz="1000" baseline="-25000" dirty="0" smtClean="0"/>
                                              <a:t>produtor</a:t>
                                            </a:r>
                                            <a:endParaRPr lang="pt-BR" sz="1000" baseline="-25000" dirty="0"/>
                                          </a:p>
                                        </a:txBody>
                                        <a:useSpRect/>
                                      </a:txSp>
                                    </a:sp>
                                    <a:sp>
                                      <a:nvSpPr>
                                        <a:cNvPr id="57" name="CaixaDeTexto 56"/>
                                        <a:cNvSpPr txBox="1"/>
                                      </a:nvSpPr>
                                      <a:spPr>
                                        <a:xfrm>
                                          <a:off x="3635896" y="2492896"/>
                                          <a:ext cx="550151" cy="246221"/>
                                        </a:xfrm>
                                        <a:prstGeom prst="rect">
                                          <a:avLst/>
                                        </a:prstGeom>
                                        <a:noFill/>
                                      </a:spPr>
                                      <a:txSp>
                                        <a:txBody>
                                          <a:bodyPr wrap="non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PT" sz="1000" dirty="0" smtClean="0"/>
                                              <a:t>P </a:t>
                                            </a:r>
                                            <a:r>
                                              <a:rPr lang="pt-PT" sz="1000" baseline="-25000" dirty="0" smtClean="0"/>
                                              <a:t>blender</a:t>
                                            </a:r>
                                            <a:endParaRPr lang="pt-BR" sz="1000" baseline="-25000" dirty="0"/>
                                          </a:p>
                                        </a:txBody>
                                        <a:useSpRect/>
                                      </a:txSp>
                                    </a:sp>
                                  </a:grpSp>
                                  <a:sp>
                                    <a:nvSpPr>
                                      <a:cNvPr id="60" name="CaixaDeTexto 59"/>
                                      <a:cNvSpPr txBox="1"/>
                                    </a:nvSpPr>
                                    <a:spPr>
                                      <a:xfrm>
                                        <a:off x="3995936" y="548680"/>
                                        <a:ext cx="2088232" cy="461665"/>
                                      </a:xfrm>
                                      <a:prstGeom prst="rect">
                                        <a:avLst/>
                                      </a:prstGeom>
                                      <a:noFill/>
                                    </a:spPr>
                                    <a:txSp>
                                      <a:txBody>
                                        <a:bodyPr wrap="squar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pt-PT" sz="1400" b="1" dirty="0" smtClean="0"/>
                                            <a:t>Mandato Efetivo</a:t>
                                          </a:r>
                                        </a:p>
                                        <a:p>
                                          <a:pPr algn="ctr"/>
                                          <a:r>
                                            <a:rPr lang="pt-PT" sz="1000" dirty="0" smtClean="0"/>
                                            <a:t>Oferta &lt; Q Mandato </a:t>
                                          </a:r>
                                          <a:r>
                                            <a:rPr lang="pt-PT" sz="1000" baseline="-25000" dirty="0" smtClean="0"/>
                                            <a:t>RFS</a:t>
                                          </a:r>
                                          <a:endParaRPr lang="pt-BR" sz="1000" baseline="-25000" dirty="0"/>
                                        </a:p>
                                      </a:txBody>
                                      <a:useSpRect/>
                                    </a:txSp>
                                  </a:sp>
                                  <a:sp>
                                    <a:nvSpPr>
                                      <a:cNvPr id="61" name="CaixaDeTexto 60"/>
                                      <a:cNvSpPr txBox="1"/>
                                    </a:nvSpPr>
                                    <a:spPr>
                                      <a:xfrm>
                                        <a:off x="1345144" y="542680"/>
                                        <a:ext cx="2088232" cy="461665"/>
                                      </a:xfrm>
                                      <a:prstGeom prst="rect">
                                        <a:avLst/>
                                      </a:prstGeom>
                                      <a:noFill/>
                                    </a:spPr>
                                    <a:txSp>
                                      <a:txBody>
                                        <a:bodyPr wrap="squar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pt-PT" sz="1400" b="1" dirty="0" smtClean="0"/>
                                            <a:t>Mandato Não Efetivo</a:t>
                                          </a:r>
                                        </a:p>
                                        <a:p>
                                          <a:pPr algn="ctr"/>
                                          <a:r>
                                            <a:rPr lang="pt-PT" sz="1000" dirty="0" smtClean="0"/>
                                            <a:t>Oferta &gt; Q Mandato </a:t>
                                          </a:r>
                                          <a:r>
                                            <a:rPr lang="pt-PT" sz="1000" baseline="-25000" dirty="0" smtClean="0"/>
                                            <a:t>RFS</a:t>
                                          </a:r>
                                          <a:endParaRPr lang="pt-BR" sz="1000" baseline="-25000" dirty="0"/>
                                        </a:p>
                                      </a:txBody>
                                      <a:useSpRect/>
                                    </a:txSp>
                                  </a:sp>
                                </a:grpSp>
                              </a:grpSp>
                            </lc:lockedCanvas>
                          </a:graphicData>
                        </a:graphic>
                      </wp:inline>
                    </w:drawing>
                  </w:r>
                </w:p>
                <w:p w:rsidR="00A57446" w:rsidRPr="008D3CCD" w:rsidRDefault="00A57446" w:rsidP="00715F5B">
                  <w:pPr>
                    <w:spacing w:line="360" w:lineRule="auto"/>
                    <w:jc w:val="left"/>
                    <w:rPr>
                      <w:rFonts w:ascii="Times New Roman" w:hAnsi="Times New Roman" w:cs="Times New Roman"/>
                      <w:sz w:val="20"/>
                      <w:szCs w:val="20"/>
                      <w:lang w:val="pt-PT"/>
                    </w:rPr>
                  </w:pPr>
                  <w:r>
                    <w:rPr>
                      <w:rFonts w:ascii="Times New Roman" w:hAnsi="Times New Roman" w:cs="Times New Roman"/>
                      <w:sz w:val="20"/>
                      <w:szCs w:val="20"/>
                      <w:lang w:val="pt-PT"/>
                    </w:rPr>
                    <w:t xml:space="preserve">       </w:t>
                  </w:r>
                  <w:r w:rsidRPr="008D3CCD">
                    <w:rPr>
                      <w:rFonts w:ascii="Times New Roman" w:hAnsi="Times New Roman" w:cs="Times New Roman"/>
                      <w:sz w:val="20"/>
                      <w:szCs w:val="20"/>
                      <w:lang w:val="pt-PT"/>
                    </w:rPr>
                    <w:t xml:space="preserve">Fonte: Adaptado de </w:t>
                  </w:r>
                  <w:r>
                    <w:rPr>
                      <w:rFonts w:ascii="Times New Roman" w:hAnsi="Times New Roman" w:cs="Times New Roman"/>
                      <w:sz w:val="20"/>
                      <w:szCs w:val="20"/>
                      <w:lang w:val="pt-PT"/>
                    </w:rPr>
                    <w:t>Thompson, Meyer eWesthoff (2009), in Schnepf e Yacobucci (2010).</w:t>
                  </w:r>
                </w:p>
                <w:p w:rsidR="00A57446" w:rsidRDefault="00A57446" w:rsidP="00715F5B">
                  <w:pPr>
                    <w:spacing w:line="360" w:lineRule="auto"/>
                    <w:ind w:firstLine="708"/>
                    <w:rPr>
                      <w:rFonts w:ascii="Times New Roman" w:hAnsi="Times New Roman" w:cs="Times New Roman"/>
                      <w:sz w:val="24"/>
                      <w:szCs w:val="24"/>
                      <w:lang w:val="pt-PT"/>
                    </w:rPr>
                  </w:pPr>
                </w:p>
                <w:p w:rsidR="00A57446" w:rsidRDefault="00A57446"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Por outro lado, se a oferta observada for inferior à meta, o mandato se torna efetivo, pois obriga as refinarias e misturadoras a consumirem mais combustíveis renováveis do que na ausência de metas. O preço do biocombustível deve aumentar para P</w:t>
                  </w:r>
                  <w:r w:rsidRPr="00CB3F39">
                    <w:rPr>
                      <w:rFonts w:ascii="Times New Roman" w:hAnsi="Times New Roman" w:cs="Times New Roman"/>
                      <w:sz w:val="24"/>
                      <w:szCs w:val="24"/>
                      <w:vertAlign w:val="subscript"/>
                      <w:lang w:val="pt-PT"/>
                    </w:rPr>
                    <w:t>produtor</w:t>
                  </w:r>
                  <w:r>
                    <w:rPr>
                      <w:rFonts w:ascii="Times New Roman" w:hAnsi="Times New Roman" w:cs="Times New Roman"/>
                      <w:sz w:val="24"/>
                      <w:szCs w:val="24"/>
                      <w:lang w:val="pt-PT"/>
                    </w:rPr>
                    <w:t xml:space="preserve"> para que os produtores ofertem a quantidade necessária, e cair para P</w:t>
                  </w:r>
                  <w:r w:rsidRPr="00CB3F39">
                    <w:rPr>
                      <w:rFonts w:ascii="Times New Roman" w:hAnsi="Times New Roman" w:cs="Times New Roman"/>
                      <w:sz w:val="24"/>
                      <w:szCs w:val="24"/>
                      <w:vertAlign w:val="subscript"/>
                      <w:lang w:val="pt-PT"/>
                    </w:rPr>
                    <w:t>blender</w:t>
                  </w:r>
                  <w:r>
                    <w:rPr>
                      <w:rFonts w:ascii="Times New Roman" w:hAnsi="Times New Roman" w:cs="Times New Roman"/>
                      <w:sz w:val="24"/>
                      <w:szCs w:val="24"/>
                      <w:lang w:val="pt-PT"/>
                    </w:rPr>
                    <w:t xml:space="preserve"> para que as partes obrigadas adquiram mais biocombustíveis. O valor do RIN será tão maior quanto maior a diferença entre a meta e a quantidade disponível. Neste caso, a parte obrigada pagará o preço P</w:t>
                  </w:r>
                  <w:r w:rsidRPr="00CB3F39">
                    <w:rPr>
                      <w:rFonts w:ascii="Times New Roman" w:hAnsi="Times New Roman" w:cs="Times New Roman"/>
                      <w:sz w:val="24"/>
                      <w:szCs w:val="24"/>
                      <w:vertAlign w:val="subscript"/>
                      <w:lang w:val="pt-PT"/>
                    </w:rPr>
                    <w:t>blender</w:t>
                  </w:r>
                  <w:r>
                    <w:rPr>
                      <w:rFonts w:ascii="Times New Roman" w:hAnsi="Times New Roman" w:cs="Times New Roman"/>
                      <w:sz w:val="24"/>
                      <w:szCs w:val="24"/>
                      <w:lang w:val="pt-PT"/>
                    </w:rPr>
                    <w:t xml:space="preserve"> mais o preço do RIN, ao passo que o produtor receberá o preço P</w:t>
                  </w:r>
                  <w:r w:rsidRPr="00CB3F39">
                    <w:rPr>
                      <w:rFonts w:ascii="Times New Roman" w:hAnsi="Times New Roman" w:cs="Times New Roman"/>
                      <w:sz w:val="24"/>
                      <w:szCs w:val="24"/>
                      <w:vertAlign w:val="subscript"/>
                      <w:lang w:val="pt-PT"/>
                    </w:rPr>
                    <w:t>produtor</w:t>
                  </w:r>
                  <w:r>
                    <w:rPr>
                      <w:rFonts w:ascii="Times New Roman" w:hAnsi="Times New Roman" w:cs="Times New Roman"/>
                      <w:sz w:val="24"/>
                      <w:szCs w:val="24"/>
                      <w:lang w:val="pt-PT"/>
                    </w:rPr>
                    <w:t>.</w:t>
                  </w:r>
                </w:p>
                <w:p w:rsidR="00A57446" w:rsidRDefault="00A57446" w:rsidP="00715F5B">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ab/>
                    <w:t>Desse modo, o preço dos RINs negociados sinalizam quão rigorosas ou frouxas foram as quantidades determinadas como metas de consumo, podendo servir de parâmetro para reajuste das quantidades para os períodos seguintes. Cabe mencionar também que o programa prevê a possibilidade de retiradas da obrigação de atendimento da meta de combustíveis celulósicos (</w:t>
                  </w:r>
                  <w:r w:rsidRPr="0070174B">
                    <w:rPr>
                      <w:rFonts w:ascii="Times New Roman" w:hAnsi="Times New Roman" w:cs="Times New Roman"/>
                      <w:i/>
                      <w:sz w:val="24"/>
                      <w:szCs w:val="24"/>
                      <w:lang w:val="pt-PT"/>
                    </w:rPr>
                    <w:t>waivers</w:t>
                  </w:r>
                  <w:r>
                    <w:rPr>
                      <w:rFonts w:ascii="Times New Roman" w:hAnsi="Times New Roman" w:cs="Times New Roman"/>
                      <w:sz w:val="24"/>
                      <w:szCs w:val="24"/>
                      <w:lang w:val="pt-PT"/>
                    </w:rPr>
                    <w:t xml:space="preserve">), caso a EPA considere que há uma oferta doméstica insuficiente, ou ainda, que o atendimento da meta gerar danos severos à economia ou ao meio ambiente de um estado, região ou do próprio país. </w:t>
                  </w:r>
                </w:p>
                <w:p w:rsidR="00A57446" w:rsidRDefault="00A57446" w:rsidP="00715F5B">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ab/>
                    <w:t>Esse tipo de regulação que usa incentivos é considerada custo-eficiente por permitir que os agentes que apresentam menor custo de cumprimento do mandato façam mais do que sua obrigação e sejam remunerados por aqueles que enfrentam custos maiores.</w:t>
                  </w:r>
                </w:p>
                <w:p w:rsidR="00A57446" w:rsidRPr="00F776A2" w:rsidRDefault="00A57446" w:rsidP="00715F5B">
                  <w:pPr>
                    <w:rPr>
                      <w:lang w:val="pt-PT"/>
                    </w:rPr>
                  </w:pPr>
                </w:p>
              </w:txbxContent>
            </v:textbox>
          </v:shape>
        </w:pict>
      </w: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p>
    <w:p w:rsidR="00715F5B" w:rsidRPr="000C4BF4" w:rsidRDefault="00F166C3" w:rsidP="00F166C3">
      <w:pPr>
        <w:spacing w:line="360" w:lineRule="auto"/>
        <w:rPr>
          <w:rFonts w:ascii="Times New Roman" w:hAnsi="Times New Roman" w:cs="Times New Roman"/>
          <w:color w:val="FF0000"/>
          <w:sz w:val="24"/>
          <w:szCs w:val="24"/>
          <w:lang w:val="pt-PT"/>
        </w:rPr>
      </w:pPr>
      <w:r>
        <w:rPr>
          <w:rFonts w:ascii="Times New Roman" w:hAnsi="Times New Roman" w:cs="Times New Roman"/>
          <w:sz w:val="24"/>
          <w:szCs w:val="24"/>
          <w:lang w:val="pt-PT"/>
        </w:rPr>
        <w:lastRenderedPageBreak/>
        <w:tab/>
      </w:r>
      <w:r w:rsidR="00715F5B" w:rsidRPr="000C4BF4">
        <w:rPr>
          <w:rFonts w:ascii="Times New Roman" w:hAnsi="Times New Roman" w:cs="Times New Roman"/>
          <w:sz w:val="24"/>
          <w:szCs w:val="24"/>
          <w:lang w:val="pt-PT"/>
        </w:rPr>
        <w:t>A partir da promulgação da EISA, foi requerido que os combustíveis produzidos em no</w:t>
      </w:r>
      <w:r w:rsidR="00715F5B">
        <w:rPr>
          <w:rFonts w:ascii="Times New Roman" w:hAnsi="Times New Roman" w:cs="Times New Roman"/>
          <w:sz w:val="24"/>
          <w:szCs w:val="24"/>
          <w:lang w:val="pt-PT"/>
        </w:rPr>
        <w:t xml:space="preserve">vas instalações, </w:t>
      </w:r>
      <w:r w:rsidR="00715F5B" w:rsidRPr="000C4BF4">
        <w:rPr>
          <w:rFonts w:ascii="Times New Roman" w:hAnsi="Times New Roman" w:cs="Times New Roman"/>
          <w:sz w:val="24"/>
          <w:szCs w:val="24"/>
          <w:lang w:val="pt-PT"/>
        </w:rPr>
        <w:t>construídas</w:t>
      </w:r>
      <w:r w:rsidR="00715F5B">
        <w:rPr>
          <w:rFonts w:ascii="Times New Roman" w:hAnsi="Times New Roman" w:cs="Times New Roman"/>
          <w:sz w:val="24"/>
          <w:szCs w:val="24"/>
          <w:lang w:val="pt-PT"/>
        </w:rPr>
        <w:t xml:space="preserve"> a partir de dezembro de 2007, reduzissem em 20%, no mínimo, as emissões de GEE durante todo seu ciclo de vida, em relação a uma linha de base referente às emissões oriundas do consumo de gasolina ou diesel fósseis em 2005. Essa determinação é a base do esquema de incentivos provido pelo RFS2.</w:t>
      </w:r>
    </w:p>
    <w:p w:rsidR="00715F5B" w:rsidRDefault="00715F5B" w:rsidP="00715F5B">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ab/>
        <w:t>Os incentivos do programa estão atrelados às categorias de combustíveis renová</w:t>
      </w:r>
      <w:r w:rsidR="00F166C3">
        <w:rPr>
          <w:rFonts w:ascii="Times New Roman" w:hAnsi="Times New Roman" w:cs="Times New Roman"/>
          <w:sz w:val="24"/>
          <w:szCs w:val="24"/>
          <w:lang w:val="pt-PT"/>
        </w:rPr>
        <w:t>veis, conforme mostra a figura 7</w:t>
      </w:r>
      <w:r>
        <w:rPr>
          <w:rFonts w:ascii="Times New Roman" w:hAnsi="Times New Roman" w:cs="Times New Roman"/>
          <w:sz w:val="24"/>
          <w:szCs w:val="24"/>
          <w:lang w:val="pt-PT"/>
        </w:rPr>
        <w:t>. A categoria mais abrangente corresponde a “combustíveis renováveis”. Um combustível renovável, sob o RFS2, é um “combustível produzido a partir de biomassa renovável, (...) que é usada para substitutir ou reduzir a quantidade de combustível fóssil presente em um combustível de transporte, óleo de aquecimento ou combustível de aviação (...) e apresenta emissões de GEE 20% inferiores às da linha de base, considerando todo seu ciclo de vida”</w:t>
      </w:r>
      <w:r>
        <w:rPr>
          <w:rStyle w:val="Refdenotaderodap"/>
          <w:rFonts w:ascii="Times New Roman" w:hAnsi="Times New Roman" w:cs="Times New Roman"/>
          <w:sz w:val="24"/>
          <w:szCs w:val="24"/>
          <w:lang w:val="pt-PT"/>
        </w:rPr>
        <w:footnoteReference w:id="28"/>
      </w:r>
      <w:r>
        <w:rPr>
          <w:rFonts w:ascii="Times New Roman" w:hAnsi="Times New Roman" w:cs="Times New Roman"/>
          <w:sz w:val="24"/>
          <w:szCs w:val="24"/>
          <w:lang w:val="pt-PT"/>
        </w:rPr>
        <w:t xml:space="preserve">. </w:t>
      </w:r>
    </w:p>
    <w:p w:rsidR="00715F5B" w:rsidRDefault="00715F5B" w:rsidP="00715F5B">
      <w:pPr>
        <w:spacing w:line="360" w:lineRule="auto"/>
        <w:rPr>
          <w:rFonts w:ascii="Times New Roman" w:hAnsi="Times New Roman" w:cs="Times New Roman"/>
          <w:sz w:val="24"/>
          <w:szCs w:val="24"/>
          <w:lang w:val="pt-PT"/>
        </w:rPr>
      </w:pPr>
    </w:p>
    <w:p w:rsidR="00715F5B" w:rsidRDefault="00715F5B" w:rsidP="00715F5B">
      <w:pPr>
        <w:spacing w:line="360" w:lineRule="auto"/>
        <w:jc w:val="center"/>
        <w:rPr>
          <w:rFonts w:ascii="Times New Roman" w:hAnsi="Times New Roman" w:cs="Times New Roman"/>
          <w:b/>
          <w:sz w:val="24"/>
          <w:szCs w:val="24"/>
          <w:lang w:val="pt-PT"/>
        </w:rPr>
      </w:pPr>
      <w:r w:rsidRPr="006B2B97">
        <w:rPr>
          <w:rFonts w:ascii="Times New Roman" w:hAnsi="Times New Roman" w:cs="Times New Roman"/>
          <w:b/>
          <w:sz w:val="24"/>
          <w:szCs w:val="24"/>
          <w:lang w:val="pt-PT"/>
        </w:rPr>
        <w:t xml:space="preserve">Figura </w:t>
      </w:r>
      <w:r w:rsidR="00F166C3">
        <w:rPr>
          <w:rFonts w:ascii="Times New Roman" w:hAnsi="Times New Roman" w:cs="Times New Roman"/>
          <w:b/>
          <w:sz w:val="24"/>
          <w:szCs w:val="24"/>
          <w:lang w:val="pt-PT"/>
        </w:rPr>
        <w:t>7</w:t>
      </w:r>
      <w:r w:rsidRPr="006B2B97">
        <w:rPr>
          <w:rFonts w:ascii="Times New Roman" w:hAnsi="Times New Roman" w:cs="Times New Roman"/>
          <w:b/>
          <w:sz w:val="24"/>
          <w:szCs w:val="24"/>
          <w:lang w:val="pt-PT"/>
        </w:rPr>
        <w:t xml:space="preserve"> – Categorias de Combustíveis Renováveis sob o RFS2 </w:t>
      </w:r>
    </w:p>
    <w:p w:rsidR="00715F5B" w:rsidRPr="006B2B97" w:rsidRDefault="00715F5B" w:rsidP="00715F5B">
      <w:pPr>
        <w:spacing w:line="360" w:lineRule="auto"/>
        <w:jc w:val="center"/>
        <w:rPr>
          <w:rFonts w:ascii="Times New Roman" w:hAnsi="Times New Roman" w:cs="Times New Roman"/>
          <w:b/>
          <w:sz w:val="24"/>
          <w:szCs w:val="24"/>
          <w:lang w:val="pt-PT"/>
        </w:rPr>
      </w:pPr>
      <w:r>
        <w:rPr>
          <w:rFonts w:ascii="Times New Roman" w:hAnsi="Times New Roman" w:cs="Times New Roman"/>
          <w:b/>
          <w:sz w:val="24"/>
          <w:szCs w:val="24"/>
          <w:lang w:val="pt-PT"/>
        </w:rPr>
        <w:t xml:space="preserve">e </w:t>
      </w:r>
      <w:r w:rsidRPr="006B2B97">
        <w:rPr>
          <w:rFonts w:ascii="Times New Roman" w:hAnsi="Times New Roman" w:cs="Times New Roman"/>
          <w:b/>
          <w:sz w:val="24"/>
          <w:szCs w:val="24"/>
          <w:lang w:val="pt-PT"/>
        </w:rPr>
        <w:t>redução associada de emissões de GEE</w:t>
      </w:r>
    </w:p>
    <w:p w:rsidR="00715F5B" w:rsidRDefault="00715F5B" w:rsidP="00715F5B">
      <w:pPr>
        <w:spacing w:line="360" w:lineRule="auto"/>
        <w:rPr>
          <w:rFonts w:ascii="Times New Roman" w:hAnsi="Times New Roman" w:cs="Times New Roman"/>
          <w:sz w:val="24"/>
          <w:szCs w:val="24"/>
          <w:lang w:val="pt-PT"/>
        </w:rPr>
      </w:pPr>
      <w:r>
        <w:rPr>
          <w:rFonts w:ascii="Times New Roman" w:hAnsi="Times New Roman" w:cs="Times New Roman"/>
          <w:noProof/>
          <w:sz w:val="24"/>
          <w:szCs w:val="24"/>
          <w:lang w:eastAsia="pt-BR"/>
        </w:rPr>
        <w:drawing>
          <wp:inline distT="0" distB="0" distL="0" distR="0">
            <wp:extent cx="5400675" cy="2695575"/>
            <wp:effectExtent l="0" t="57150" r="0" b="66675"/>
            <wp:docPr id="5"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715F5B" w:rsidRPr="00E22143" w:rsidRDefault="00715F5B" w:rsidP="00715F5B">
      <w:pPr>
        <w:spacing w:line="360" w:lineRule="auto"/>
        <w:ind w:left="708" w:firstLine="708"/>
        <w:rPr>
          <w:rFonts w:ascii="Times New Roman" w:hAnsi="Times New Roman" w:cs="Times New Roman"/>
          <w:sz w:val="20"/>
          <w:szCs w:val="20"/>
          <w:lang w:val="pt-PT"/>
        </w:rPr>
      </w:pPr>
      <w:r w:rsidRPr="00E22143">
        <w:rPr>
          <w:rFonts w:ascii="Times New Roman" w:hAnsi="Times New Roman" w:cs="Times New Roman"/>
          <w:sz w:val="20"/>
          <w:szCs w:val="20"/>
          <w:lang w:val="pt-PT"/>
        </w:rPr>
        <w:t>Fonte: EPA (2010)</w:t>
      </w:r>
    </w:p>
    <w:p w:rsidR="00715F5B" w:rsidRDefault="00715F5B" w:rsidP="00715F5B">
      <w:pPr>
        <w:spacing w:line="360" w:lineRule="auto"/>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Há ainda três subcategorias. A primeira corresponde aos “biocombustíveis avançados”, que são combustíveis renováveis, baseados em biomassa diferente de amido de milho e cujas emissões de GEE durante todo o ciclo de vida são 50% inferiores às da linha de </w:t>
      </w:r>
      <w:r>
        <w:rPr>
          <w:rFonts w:ascii="Times New Roman" w:hAnsi="Times New Roman" w:cs="Times New Roman"/>
          <w:sz w:val="24"/>
          <w:szCs w:val="24"/>
          <w:lang w:val="pt-PT"/>
        </w:rPr>
        <w:lastRenderedPageBreak/>
        <w:t>base. Eles correspondem à subcategoria mais ampla. O etanol de cana-de-açúcar, por exemplo, é elegível a esta categoria</w:t>
      </w:r>
      <w:r>
        <w:rPr>
          <w:rStyle w:val="Refdenotaderodap"/>
          <w:rFonts w:ascii="Times New Roman" w:hAnsi="Times New Roman" w:cs="Times New Roman"/>
          <w:sz w:val="24"/>
          <w:szCs w:val="24"/>
          <w:lang w:val="pt-PT"/>
        </w:rPr>
        <w:footnoteReference w:id="29"/>
      </w:r>
      <w:r>
        <w:rPr>
          <w:rFonts w:ascii="Times New Roman" w:hAnsi="Times New Roman" w:cs="Times New Roman"/>
          <w:sz w:val="24"/>
          <w:szCs w:val="24"/>
          <w:lang w:val="pt-PT"/>
        </w:rPr>
        <w:t xml:space="preserve"> (EPA, 2010</w:t>
      </w:r>
      <w:r w:rsidR="007466A8">
        <w:rPr>
          <w:rFonts w:ascii="Times New Roman" w:hAnsi="Times New Roman" w:cs="Times New Roman"/>
          <w:sz w:val="24"/>
          <w:szCs w:val="24"/>
          <w:lang w:val="pt-PT"/>
        </w:rPr>
        <w:t>a</w:t>
      </w:r>
      <w:r>
        <w:rPr>
          <w:rFonts w:ascii="Times New Roman" w:hAnsi="Times New Roman" w:cs="Times New Roman"/>
          <w:sz w:val="24"/>
          <w:szCs w:val="24"/>
          <w:lang w:val="pt-PT"/>
        </w:rPr>
        <w:t xml:space="preserve">). </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O programa reconhece que a subcategoria “diesel baseado em biomassa”, que inclui tanto biodiesel de óleos vegetais, gorduras animais e óleos residuais, como diesel renovável não-éster, atende ao requisito de redução de 50%, ao passo que os “biocombustíveis celulósicos” deverm reduzir tais emissões em 60%.</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Slating e Kesan (2011) ilustraram a necessidade de adaptação dessa estrutura de incentivos a fim de promover a inovação, apresentando um estudo de caso com foco no uso do biobutanol como alternativa aos combustíveis fósseis nos Estados Unidos. As próximas seções se baseiam no trabalho realizado por esses autores, bem como em informações auxiliares coletadas a partir da página da EPA e </w:t>
      </w:r>
      <w:r w:rsidR="0048224B">
        <w:rPr>
          <w:rFonts w:ascii="Times New Roman" w:hAnsi="Times New Roman" w:cs="Times New Roman"/>
          <w:sz w:val="24"/>
          <w:szCs w:val="24"/>
          <w:lang w:val="pt-PT"/>
        </w:rPr>
        <w:t xml:space="preserve">em </w:t>
      </w:r>
      <w:r>
        <w:rPr>
          <w:rFonts w:ascii="Times New Roman" w:hAnsi="Times New Roman" w:cs="Times New Roman"/>
          <w:sz w:val="24"/>
          <w:szCs w:val="24"/>
          <w:lang w:val="pt-PT"/>
        </w:rPr>
        <w:t>outros estudos independentes.</w:t>
      </w:r>
    </w:p>
    <w:p w:rsidR="00715F5B" w:rsidRDefault="00715F5B" w:rsidP="00715F5B">
      <w:pPr>
        <w:spacing w:line="360" w:lineRule="auto"/>
        <w:rPr>
          <w:rFonts w:ascii="Times New Roman" w:hAnsi="Times New Roman" w:cs="Times New Roman"/>
          <w:sz w:val="24"/>
          <w:szCs w:val="24"/>
          <w:lang w:val="pt-PT"/>
        </w:rPr>
      </w:pPr>
    </w:p>
    <w:p w:rsidR="00715F5B" w:rsidRPr="0015110D" w:rsidRDefault="00715F5B" w:rsidP="00715F5B">
      <w:pPr>
        <w:spacing w:line="360" w:lineRule="auto"/>
        <w:rPr>
          <w:rFonts w:ascii="Times New Roman" w:hAnsi="Times New Roman" w:cs="Times New Roman"/>
          <w:b/>
          <w:sz w:val="24"/>
          <w:szCs w:val="24"/>
          <w:lang w:val="pt-PT"/>
        </w:rPr>
      </w:pPr>
      <w:bookmarkStart w:id="112" w:name="_Toc330506379"/>
      <w:bookmarkStart w:id="113" w:name="_Toc333911366"/>
      <w:r w:rsidRPr="00EF5A51">
        <w:rPr>
          <w:rStyle w:val="Ttulo3Char"/>
        </w:rPr>
        <w:t>3.1.2 O biobutanol</w:t>
      </w:r>
      <w:bookmarkEnd w:id="112"/>
      <w:bookmarkEnd w:id="113"/>
      <w:r>
        <w:rPr>
          <w:rStyle w:val="Refdenotaderodap"/>
          <w:rFonts w:ascii="Times New Roman" w:hAnsi="Times New Roman" w:cs="Times New Roman"/>
          <w:b/>
          <w:sz w:val="24"/>
          <w:szCs w:val="24"/>
          <w:lang w:val="pt-PT"/>
        </w:rPr>
        <w:footnoteReference w:id="30"/>
      </w:r>
      <w:r w:rsidRPr="0015110D">
        <w:rPr>
          <w:rFonts w:ascii="Times New Roman" w:hAnsi="Times New Roman" w:cs="Times New Roman"/>
          <w:b/>
          <w:sz w:val="24"/>
          <w:szCs w:val="24"/>
          <w:lang w:val="pt-PT"/>
        </w:rPr>
        <w:t xml:space="preserve"> </w:t>
      </w:r>
    </w:p>
    <w:p w:rsidR="00715F5B" w:rsidRDefault="00715F5B" w:rsidP="00715F5B">
      <w:pPr>
        <w:spacing w:line="360" w:lineRule="auto"/>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Biobutanol é o nome genérico que se dá a diferentes formas de butanol que pode derivar de processos biológicos de produção, utilizando biomassa como matéria-prima. Historicamente, produziu-se butanol por meio do método ABE (Acetona-Butanol-Etanol) que utiliza uma linhagem específica de bactéria como biocatalisador no processo de fermentação do amido, produzindo butanol, acetona e etanol na proporção 6:3:1 (por peso), respectivamente.  </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O processo chegou a ser empregado comercialmente na primeira metade do século passado devido ao interesse em relação à acetona para produção de pólvora, servindo aos propósitos da Primeira Guerra Mundial. O interesse da indústria química no butanol fez com que o processo continuasse tendo importância até a década de 1950, quando os processos de produção baseados em petróleo se tornaram economicamente mais atrativos.</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Recentemente, revigorou-se o interesse no processo ABE devido à possibilidade de utilizar o biobutanol como substituto de combustíveis fósseis. O primeiro grande avanço nas </w:t>
      </w:r>
      <w:r>
        <w:rPr>
          <w:rFonts w:ascii="Times New Roman" w:hAnsi="Times New Roman" w:cs="Times New Roman"/>
          <w:sz w:val="24"/>
          <w:szCs w:val="24"/>
          <w:lang w:val="pt-PT"/>
        </w:rPr>
        <w:lastRenderedPageBreak/>
        <w:t xml:space="preserve">pesquisas para produção de biobutanol foi conquistado por James Liao, pesquisador da Universidade da Califórnia, Los Angeles (UCLA) que modificou a bactéria </w:t>
      </w:r>
      <w:r w:rsidRPr="002560DA">
        <w:rPr>
          <w:rFonts w:ascii="Times New Roman" w:hAnsi="Times New Roman" w:cs="Times New Roman"/>
          <w:i/>
          <w:sz w:val="24"/>
          <w:szCs w:val="24"/>
          <w:lang w:val="pt-PT"/>
        </w:rPr>
        <w:t xml:space="preserve">E. </w:t>
      </w:r>
      <w:r>
        <w:rPr>
          <w:rFonts w:ascii="Times New Roman" w:hAnsi="Times New Roman" w:cs="Times New Roman"/>
          <w:i/>
          <w:sz w:val="24"/>
          <w:szCs w:val="24"/>
          <w:lang w:val="pt-PT"/>
        </w:rPr>
        <w:t>c</w:t>
      </w:r>
      <w:r w:rsidRPr="002560DA">
        <w:rPr>
          <w:rFonts w:ascii="Times New Roman" w:hAnsi="Times New Roman" w:cs="Times New Roman"/>
          <w:i/>
          <w:sz w:val="24"/>
          <w:szCs w:val="24"/>
          <w:lang w:val="pt-PT"/>
        </w:rPr>
        <w:t>oli</w:t>
      </w:r>
      <w:r>
        <w:rPr>
          <w:rFonts w:ascii="Times New Roman" w:hAnsi="Times New Roman" w:cs="Times New Roman"/>
          <w:sz w:val="24"/>
          <w:szCs w:val="24"/>
          <w:lang w:val="pt-PT"/>
        </w:rPr>
        <w:t xml:space="preserve"> e conseguiu produzir biocombustível em proporções “muito superiores às de qualquer organismo natural”. O pesquisador é co-fundador da Gevo, uma empresa de destaque no mercado de biocombustíveis avançados e bioprodutos químicos.</w:t>
      </w:r>
    </w:p>
    <w:p w:rsidR="00715F5B" w:rsidRPr="00421DE9" w:rsidRDefault="00715F5B" w:rsidP="00715F5B">
      <w:pPr>
        <w:spacing w:line="360" w:lineRule="auto"/>
        <w:ind w:firstLine="708"/>
        <w:rPr>
          <w:rFonts w:ascii="Times New Roman" w:hAnsi="Times New Roman" w:cs="Times New Roman"/>
          <w:sz w:val="24"/>
          <w:szCs w:val="24"/>
        </w:rPr>
      </w:pPr>
      <w:r>
        <w:rPr>
          <w:rFonts w:ascii="Times New Roman" w:hAnsi="Times New Roman" w:cs="Times New Roman"/>
          <w:sz w:val="24"/>
          <w:szCs w:val="24"/>
          <w:lang w:val="pt-PT"/>
        </w:rPr>
        <w:t>Como o bioetanol, o biobutanol pode ser um aditivo à gasolina derivada de petróleo e assim reduzir as emissões associadas de GEE, com a vantagem de ter maior conteúdo energético, que varia de 83% a 96% daquele verificado na gasolina, ao passo que o etanol contém cerca de 70%. Desse modo, a</w:t>
      </w:r>
      <w:r>
        <w:rPr>
          <w:rFonts w:ascii="Times New Roman" w:hAnsi="Times New Roman" w:cs="Times New Roman"/>
          <w:sz w:val="24"/>
          <w:szCs w:val="24"/>
        </w:rPr>
        <w:t>pesar de o custo de produção do biobutanol ser superior ao do custo do bioetanol, essa diferença pode</w:t>
      </w:r>
      <w:r w:rsidR="00A1267D">
        <w:rPr>
          <w:rFonts w:ascii="Times New Roman" w:hAnsi="Times New Roman" w:cs="Times New Roman"/>
          <w:sz w:val="24"/>
          <w:szCs w:val="24"/>
        </w:rPr>
        <w:t>ria ser</w:t>
      </w:r>
      <w:r>
        <w:rPr>
          <w:rFonts w:ascii="Times New Roman" w:hAnsi="Times New Roman" w:cs="Times New Roman"/>
          <w:sz w:val="24"/>
          <w:szCs w:val="24"/>
        </w:rPr>
        <w:t xml:space="preserve"> compensada por seu conteúdo energético e capacidade de redução de emissões de GEE. </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A tecnologia desenvolvida pela GEVO pode ser aplicada às plantas industriais produtoras de etanol já existentes com pequenas modificações</w:t>
      </w:r>
      <w:r>
        <w:rPr>
          <w:rStyle w:val="Refdenotaderodap"/>
          <w:rFonts w:ascii="Times New Roman" w:hAnsi="Times New Roman" w:cs="Times New Roman"/>
          <w:sz w:val="24"/>
          <w:szCs w:val="24"/>
          <w:lang w:val="pt-PT"/>
        </w:rPr>
        <w:footnoteReference w:id="31"/>
      </w:r>
      <w:r>
        <w:rPr>
          <w:rFonts w:ascii="Times New Roman" w:hAnsi="Times New Roman" w:cs="Times New Roman"/>
          <w:sz w:val="24"/>
          <w:szCs w:val="24"/>
          <w:lang w:val="pt-PT"/>
        </w:rPr>
        <w:t xml:space="preserve">, uma vez que ele pode ser produzido a partir dos mesmos tipos de biomassa usada na produção de biocombustíveis convencionais. Tem-se assim a vantagem de custo de investimento em capital fixo reduzido, favorecendo sua aplicação comercial no curto prazo. </w:t>
      </w:r>
    </w:p>
    <w:p w:rsidR="00715F5B" w:rsidRPr="00624AE7" w:rsidRDefault="00715F5B" w:rsidP="00715F5B">
      <w:pPr>
        <w:spacing w:line="360" w:lineRule="auto"/>
        <w:ind w:firstLine="708"/>
        <w:rPr>
          <w:rFonts w:ascii="Times New Roman" w:hAnsi="Times New Roman" w:cs="Times New Roman"/>
          <w:color w:val="FF0000"/>
          <w:sz w:val="24"/>
          <w:szCs w:val="24"/>
        </w:rPr>
      </w:pPr>
      <w:r>
        <w:rPr>
          <w:rFonts w:ascii="Times New Roman" w:hAnsi="Times New Roman" w:cs="Times New Roman"/>
          <w:sz w:val="24"/>
          <w:szCs w:val="24"/>
          <w:lang w:val="pt-PT"/>
        </w:rPr>
        <w:t>Uma terceira vantagem (para que seja consumido nos Estados Unidos) es</w:t>
      </w:r>
      <w:r w:rsidR="003D3FF8">
        <w:rPr>
          <w:rFonts w:ascii="Times New Roman" w:hAnsi="Times New Roman" w:cs="Times New Roman"/>
          <w:sz w:val="24"/>
          <w:szCs w:val="24"/>
          <w:lang w:val="pt-PT"/>
        </w:rPr>
        <w:t xml:space="preserve">taria associada ao fato de o </w:t>
      </w:r>
      <w:r>
        <w:rPr>
          <w:rFonts w:ascii="Times New Roman" w:hAnsi="Times New Roman" w:cs="Times New Roman"/>
          <w:sz w:val="24"/>
          <w:szCs w:val="24"/>
          <w:lang w:val="pt-PT"/>
        </w:rPr>
        <w:t xml:space="preserve">butanol </w:t>
      </w:r>
      <w:r w:rsidR="003D3FF8">
        <w:rPr>
          <w:rFonts w:ascii="Times New Roman" w:hAnsi="Times New Roman" w:cs="Times New Roman"/>
          <w:sz w:val="24"/>
          <w:szCs w:val="24"/>
          <w:lang w:val="pt-PT"/>
        </w:rPr>
        <w:t xml:space="preserve">apresentar maior compatibilidade com </w:t>
      </w:r>
      <w:r>
        <w:rPr>
          <w:rFonts w:ascii="Times New Roman" w:hAnsi="Times New Roman" w:cs="Times New Roman"/>
          <w:sz w:val="24"/>
          <w:szCs w:val="24"/>
          <w:lang w:val="pt-PT"/>
        </w:rPr>
        <w:t xml:space="preserve">a infraestrutura de distribuição e comercialização, inclusive </w:t>
      </w:r>
      <w:r w:rsidRPr="00F50F4E">
        <w:rPr>
          <w:rFonts w:ascii="Times New Roman" w:hAnsi="Times New Roman" w:cs="Times New Roman"/>
          <w:sz w:val="24"/>
          <w:szCs w:val="24"/>
          <w:lang w:val="pt-PT"/>
        </w:rPr>
        <w:t>motores a gasolina, o</w:t>
      </w:r>
      <w:r>
        <w:rPr>
          <w:rFonts w:ascii="Times New Roman" w:hAnsi="Times New Roman" w:cs="Times New Roman"/>
          <w:sz w:val="24"/>
          <w:szCs w:val="24"/>
          <w:lang w:val="pt-PT"/>
        </w:rPr>
        <w:t xml:space="preserve"> que evitaria</w:t>
      </w:r>
      <w:r w:rsidRPr="00F50F4E">
        <w:rPr>
          <w:rFonts w:ascii="Times New Roman" w:hAnsi="Times New Roman" w:cs="Times New Roman"/>
          <w:sz w:val="24"/>
          <w:szCs w:val="24"/>
          <w:lang w:val="pt-PT"/>
        </w:rPr>
        <w:t xml:space="preserve"> custos de adaptação aos ativos complementares</w:t>
      </w:r>
      <w:r w:rsidR="003D3FF8">
        <w:rPr>
          <w:rFonts w:ascii="Times New Roman" w:hAnsi="Times New Roman" w:cs="Times New Roman"/>
          <w:sz w:val="24"/>
          <w:szCs w:val="24"/>
          <w:lang w:val="pt-PT"/>
        </w:rPr>
        <w:t>, quando comparado ao etanol</w:t>
      </w:r>
      <w:r w:rsidRPr="00F50F4E">
        <w:rPr>
          <w:rFonts w:ascii="Times New Roman" w:hAnsi="Times New Roman" w:cs="Times New Roman"/>
          <w:sz w:val="24"/>
          <w:szCs w:val="24"/>
          <w:lang w:val="pt-PT"/>
        </w:rPr>
        <w:t xml:space="preserve">. </w:t>
      </w:r>
      <w:r w:rsidRPr="00F50F4E">
        <w:rPr>
          <w:rFonts w:ascii="Times New Roman" w:hAnsi="Times New Roman" w:cs="Times New Roman"/>
          <w:sz w:val="24"/>
          <w:szCs w:val="24"/>
        </w:rPr>
        <w:t>A adoção de misturas como o E</w:t>
      </w:r>
      <w:r>
        <w:rPr>
          <w:rFonts w:ascii="Times New Roman" w:hAnsi="Times New Roman" w:cs="Times New Roman"/>
          <w:sz w:val="24"/>
          <w:szCs w:val="24"/>
        </w:rPr>
        <w:t>-</w:t>
      </w:r>
      <w:r w:rsidRPr="00F50F4E">
        <w:rPr>
          <w:rFonts w:ascii="Times New Roman" w:hAnsi="Times New Roman" w:cs="Times New Roman"/>
          <w:sz w:val="24"/>
          <w:szCs w:val="24"/>
        </w:rPr>
        <w:t>85 oferece alguns desafios p</w:t>
      </w:r>
      <w:r>
        <w:rPr>
          <w:rFonts w:ascii="Times New Roman" w:hAnsi="Times New Roman" w:cs="Times New Roman"/>
          <w:sz w:val="24"/>
          <w:szCs w:val="24"/>
        </w:rPr>
        <w:t xml:space="preserve">ara o contexto norte-americano </w:t>
      </w:r>
      <w:r w:rsidRPr="00F50F4E">
        <w:rPr>
          <w:rFonts w:ascii="Times New Roman" w:hAnsi="Times New Roman" w:cs="Times New Roman"/>
          <w:sz w:val="24"/>
          <w:szCs w:val="24"/>
        </w:rPr>
        <w:t>que a utilização de butanol pode evitar</w:t>
      </w:r>
      <w:r>
        <w:rPr>
          <w:rFonts w:ascii="Times New Roman" w:hAnsi="Times New Roman" w:cs="Times New Roman"/>
          <w:sz w:val="24"/>
          <w:szCs w:val="24"/>
        </w:rPr>
        <w:t xml:space="preserve"> (EPA, 2010b)</w:t>
      </w:r>
      <w:r w:rsidRPr="00F50F4E">
        <w:rPr>
          <w:rFonts w:ascii="Times New Roman" w:hAnsi="Times New Roman" w:cs="Times New Roman"/>
          <w:sz w:val="24"/>
          <w:szCs w:val="24"/>
        </w:rPr>
        <w:t>.</w:t>
      </w:r>
    </w:p>
    <w:p w:rsidR="00715F5B" w:rsidRPr="00C43E4D" w:rsidRDefault="00715F5B" w:rsidP="00715F5B">
      <w:pPr>
        <w:spacing w:line="360" w:lineRule="auto"/>
        <w:ind w:firstLine="708"/>
        <w:rPr>
          <w:rFonts w:ascii="Times New Roman" w:hAnsi="Times New Roman" w:cs="Times New Roman"/>
          <w:sz w:val="24"/>
          <w:szCs w:val="24"/>
        </w:rPr>
      </w:pPr>
      <w:r w:rsidRPr="00C43E4D">
        <w:rPr>
          <w:rFonts w:ascii="Times New Roman" w:hAnsi="Times New Roman" w:cs="Times New Roman"/>
          <w:sz w:val="24"/>
          <w:szCs w:val="24"/>
        </w:rPr>
        <w:t>Além disso, o butanol é muito menos solúvel em água, permitindo que ele seja misturado na refinaria, de modo que a mistura gasolina-butanol então resultante seja mais facilmente transportada por meio de dutos. Isto reduziria os custos de distribuição associados à necessidade de o etanol ter de ser enviado separadamente da gasolina e também economizaria os custos incorridos com a mistura no terminal</w:t>
      </w:r>
      <w:r>
        <w:rPr>
          <w:rFonts w:ascii="Times New Roman" w:hAnsi="Times New Roman" w:cs="Times New Roman"/>
          <w:sz w:val="24"/>
          <w:szCs w:val="24"/>
        </w:rPr>
        <w:t xml:space="preserve"> de distribuição (EPA, 2010b)</w:t>
      </w:r>
      <w:r w:rsidRPr="00C43E4D">
        <w:rPr>
          <w:rFonts w:ascii="Times New Roman" w:hAnsi="Times New Roman" w:cs="Times New Roman"/>
          <w:sz w:val="24"/>
          <w:szCs w:val="24"/>
        </w:rPr>
        <w:t xml:space="preserve">. </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rPr>
        <w:t>Segundo a GEVO, o</w:t>
      </w:r>
      <w:r>
        <w:rPr>
          <w:rFonts w:ascii="Times New Roman" w:hAnsi="Times New Roman" w:cs="Times New Roman"/>
          <w:sz w:val="24"/>
          <w:szCs w:val="24"/>
          <w:lang w:val="pt-PT"/>
        </w:rPr>
        <w:t xml:space="preserve"> biobutanol ainda pode ser processado por meio de</w:t>
      </w:r>
      <w:r w:rsidRPr="00302B15">
        <w:rPr>
          <w:rFonts w:ascii="Times New Roman" w:hAnsi="Times New Roman" w:cs="Times New Roman"/>
          <w:sz w:val="24"/>
          <w:szCs w:val="24"/>
          <w:lang w:val="pt-PT"/>
        </w:rPr>
        <w:t xml:space="preserve"> processos químicos bem conhecidos </w:t>
      </w:r>
      <w:r>
        <w:rPr>
          <w:rFonts w:ascii="Times New Roman" w:hAnsi="Times New Roman" w:cs="Times New Roman"/>
          <w:sz w:val="24"/>
          <w:szCs w:val="24"/>
          <w:lang w:val="pt-PT"/>
        </w:rPr>
        <w:t>para a produção</w:t>
      </w:r>
      <w:r w:rsidRPr="00302B15">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de </w:t>
      </w:r>
      <w:r w:rsidRPr="00302B15">
        <w:rPr>
          <w:rFonts w:ascii="Times New Roman" w:hAnsi="Times New Roman" w:cs="Times New Roman"/>
          <w:sz w:val="24"/>
          <w:szCs w:val="24"/>
          <w:lang w:val="pt-PT"/>
        </w:rPr>
        <w:t xml:space="preserve">combustível </w:t>
      </w:r>
      <w:r>
        <w:rPr>
          <w:rFonts w:ascii="Times New Roman" w:hAnsi="Times New Roman" w:cs="Times New Roman"/>
          <w:sz w:val="24"/>
          <w:szCs w:val="24"/>
          <w:lang w:val="pt-PT"/>
        </w:rPr>
        <w:t xml:space="preserve">de aviação </w:t>
      </w:r>
      <w:r w:rsidRPr="00302B15">
        <w:rPr>
          <w:rFonts w:ascii="Times New Roman" w:hAnsi="Times New Roman" w:cs="Times New Roman"/>
          <w:sz w:val="24"/>
          <w:szCs w:val="24"/>
          <w:lang w:val="pt-PT"/>
        </w:rPr>
        <w:t>e matérias-primas para a produção d</w:t>
      </w:r>
      <w:r>
        <w:rPr>
          <w:rFonts w:ascii="Times New Roman" w:hAnsi="Times New Roman" w:cs="Times New Roman"/>
          <w:sz w:val="24"/>
          <w:szCs w:val="24"/>
          <w:lang w:val="pt-PT"/>
        </w:rPr>
        <w:t>e borracha sintética, plásticos</w:t>
      </w:r>
      <w:r w:rsidR="0048224B">
        <w:rPr>
          <w:rFonts w:ascii="Times New Roman" w:hAnsi="Times New Roman" w:cs="Times New Roman"/>
          <w:sz w:val="24"/>
          <w:szCs w:val="24"/>
          <w:lang w:val="pt-PT"/>
        </w:rPr>
        <w:t xml:space="preserve"> e polímeros</w:t>
      </w:r>
      <w:r>
        <w:rPr>
          <w:rFonts w:ascii="Times New Roman" w:hAnsi="Times New Roman" w:cs="Times New Roman"/>
          <w:sz w:val="24"/>
          <w:szCs w:val="24"/>
          <w:lang w:val="pt-PT"/>
        </w:rPr>
        <w:t xml:space="preserve"> e, futuramente, vislumbra-se também a produção de biobutanol celulósico, cuja viabilidade econômica depende do desenvolvimento de métodos mais eficientes para converter material lignocelulósico em açúcares fermentáveis.</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lastRenderedPageBreak/>
        <w:t xml:space="preserve">Com uma estratégia de comercialização muito similar à da GEVO, a Butamax, uma </w:t>
      </w:r>
      <w:r w:rsidRPr="004E3EC9">
        <w:rPr>
          <w:rFonts w:ascii="Times New Roman" w:hAnsi="Times New Roman" w:cs="Times New Roman"/>
          <w:i/>
          <w:sz w:val="24"/>
          <w:szCs w:val="24"/>
          <w:lang w:val="pt-PT"/>
        </w:rPr>
        <w:t xml:space="preserve">joint venture </w:t>
      </w:r>
      <w:r>
        <w:rPr>
          <w:rFonts w:ascii="Times New Roman" w:hAnsi="Times New Roman" w:cs="Times New Roman"/>
          <w:sz w:val="24"/>
          <w:szCs w:val="24"/>
          <w:lang w:val="pt-PT"/>
        </w:rPr>
        <w:t>entre a DuPont e a BP, também demonstrou ter progredido no desenvolvimento de biocatalisadores que produzem apenas biobutanol. Atualmente, há uma disputa inclusive na Agência de Patentes de Marcas Registradas dos EUA, onde as duas empresas são processadas reciprocamente por violação de patente</w:t>
      </w:r>
      <w:r>
        <w:rPr>
          <w:rStyle w:val="Refdenotaderodap"/>
          <w:rFonts w:ascii="Times New Roman" w:hAnsi="Times New Roman" w:cs="Times New Roman"/>
          <w:sz w:val="24"/>
          <w:szCs w:val="24"/>
          <w:lang w:val="pt-PT"/>
        </w:rPr>
        <w:footnoteReference w:id="32"/>
      </w:r>
      <w:r>
        <w:rPr>
          <w:rFonts w:ascii="Times New Roman" w:hAnsi="Times New Roman" w:cs="Times New Roman"/>
          <w:sz w:val="24"/>
          <w:szCs w:val="24"/>
          <w:lang w:val="pt-PT"/>
        </w:rPr>
        <w:t>.</w:t>
      </w:r>
    </w:p>
    <w:p w:rsidR="00715F5B" w:rsidRDefault="00715F5B" w:rsidP="00715F5B">
      <w:pPr>
        <w:spacing w:line="360" w:lineRule="auto"/>
        <w:ind w:firstLine="708"/>
        <w:rPr>
          <w:rFonts w:ascii="Times New Roman" w:hAnsi="Times New Roman" w:cs="Times New Roman"/>
          <w:sz w:val="24"/>
          <w:szCs w:val="24"/>
        </w:rPr>
      </w:pPr>
      <w:r>
        <w:rPr>
          <w:rFonts w:ascii="Times New Roman" w:hAnsi="Times New Roman" w:cs="Times New Roman"/>
          <w:sz w:val="24"/>
          <w:szCs w:val="24"/>
          <w:lang w:val="pt-PT"/>
        </w:rPr>
        <w:t>Essa disputa é reflexo do interesse que GEVO e Butamax têm na comercialização do biobutanol como combustível renovável no âmbito do RFS2, dado que o progra</w:t>
      </w:r>
      <w:r w:rsidRPr="00FB47E3">
        <w:rPr>
          <w:rFonts w:ascii="Times New Roman" w:hAnsi="Times New Roman" w:cs="Times New Roman"/>
          <w:sz w:val="24"/>
          <w:szCs w:val="24"/>
          <w:lang w:val="pt-PT"/>
        </w:rPr>
        <w:t>ma</w:t>
      </w:r>
      <w:r w:rsidRPr="00FB47E3">
        <w:rPr>
          <w:rFonts w:ascii="Times New Roman" w:hAnsi="Times New Roman" w:cs="Times New Roman"/>
          <w:sz w:val="24"/>
          <w:szCs w:val="24"/>
        </w:rPr>
        <w:t xml:space="preserve"> cria um mercado cativo para combustíveis capazes de reduzir as emissões de </w:t>
      </w:r>
      <w:r>
        <w:rPr>
          <w:rFonts w:ascii="Times New Roman" w:hAnsi="Times New Roman" w:cs="Times New Roman"/>
          <w:sz w:val="24"/>
          <w:szCs w:val="24"/>
        </w:rPr>
        <w:t>GEE em 20% comparado à gasolina.</w:t>
      </w:r>
      <w:r w:rsidRPr="00FB47E3">
        <w:rPr>
          <w:rFonts w:ascii="Times New Roman" w:hAnsi="Times New Roman" w:cs="Times New Roman"/>
          <w:sz w:val="24"/>
          <w:szCs w:val="24"/>
        </w:rPr>
        <w:t xml:space="preserve"> </w:t>
      </w:r>
      <w:r>
        <w:rPr>
          <w:rFonts w:ascii="Times New Roman" w:hAnsi="Times New Roman" w:cs="Times New Roman"/>
          <w:sz w:val="24"/>
          <w:szCs w:val="24"/>
        </w:rPr>
        <w:t>Contudo, com os avanços nas pesquisas científicas que visam a aumentar o rendimento de biobutanol e a utilizar material lignocelulósico, há nichos maiores a serem explorados pelas categorias que exigem maior redução das emissões.</w:t>
      </w:r>
    </w:p>
    <w:p w:rsidR="00715F5B" w:rsidRDefault="00715F5B" w:rsidP="00715F5B">
      <w:pPr>
        <w:spacing w:line="360" w:lineRule="auto"/>
        <w:rPr>
          <w:rFonts w:ascii="Times New Roman" w:hAnsi="Times New Roman" w:cs="Times New Roman"/>
          <w:sz w:val="24"/>
          <w:szCs w:val="24"/>
        </w:rPr>
      </w:pPr>
    </w:p>
    <w:p w:rsidR="00715F5B" w:rsidRPr="004973EB" w:rsidRDefault="00715F5B" w:rsidP="00995B01">
      <w:pPr>
        <w:pStyle w:val="Ttulo3"/>
      </w:pPr>
      <w:bookmarkStart w:id="114" w:name="_Toc330506380"/>
      <w:bookmarkStart w:id="115" w:name="_Toc333911367"/>
      <w:r w:rsidRPr="004973EB">
        <w:t>3.</w:t>
      </w:r>
      <w:r>
        <w:t>1</w:t>
      </w:r>
      <w:r w:rsidRPr="004973EB">
        <w:t>.3 Oportunidades e entraves para o biobutanol sob o RFS2</w:t>
      </w:r>
      <w:bookmarkEnd w:id="114"/>
      <w:bookmarkEnd w:id="115"/>
    </w:p>
    <w:p w:rsidR="00715F5B" w:rsidRDefault="00715F5B" w:rsidP="00715F5B">
      <w:pPr>
        <w:spacing w:line="360" w:lineRule="auto"/>
        <w:rPr>
          <w:rFonts w:ascii="Times New Roman" w:hAnsi="Times New Roman" w:cs="Times New Roman"/>
          <w:sz w:val="24"/>
          <w:szCs w:val="24"/>
        </w:rPr>
      </w:pP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rPr>
        <w:t xml:space="preserve">As definições detalhadas do RFS2 estruturam um esquema de incentivo à inovação tecnológica na produção de biocombustíveis. </w:t>
      </w:r>
      <w:r>
        <w:rPr>
          <w:rFonts w:ascii="Times New Roman" w:hAnsi="Times New Roman" w:cs="Times New Roman"/>
          <w:sz w:val="24"/>
          <w:szCs w:val="24"/>
          <w:lang w:val="pt-PT"/>
        </w:rPr>
        <w:t xml:space="preserve">Com a promulgação do EISA, a cada categoria também foi estipulado um volume de produção obrigatório que deve ser atingido até 2022. </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No total, 36 bilhões de galões (o equivalente a cerca de 136 bilhões de litros) de combustíveis renováveis deverão fazer parte da matriz de combustíveis líquidos dos Estados Unidos até 2022. Esse volume deverá ser atingido progressivamente, e a EPA estabeleceu volumes mínimos para serem atingidos em cada categoria anualmente. Desses 36 bilhões de galões, pelo menos 21 bilhões deverão ser “biocombustíveis avançados”, dos quais pelo menos 16 bilhões deverão ser produzidos a partir de material lignocelulósico. Com isso, a ampla categoria de “combustíveis renováveis” encontra um limite máximo de 15 bilhões de galões como reserva de mercado a partir de 2015.</w:t>
      </w:r>
    </w:p>
    <w:p w:rsidR="00715F5B" w:rsidRPr="001515E9" w:rsidRDefault="00715F5B" w:rsidP="00715F5B">
      <w:pPr>
        <w:rPr>
          <w:rFonts w:ascii="Times New Roman" w:hAnsi="Times New Roman" w:cs="Times New Roman"/>
          <w:b/>
          <w:sz w:val="24"/>
          <w:szCs w:val="24"/>
        </w:rPr>
      </w:pPr>
    </w:p>
    <w:p w:rsidR="00EF5A51" w:rsidRDefault="00EF5A51">
      <w:pPr>
        <w:rPr>
          <w:rFonts w:ascii="Times New Roman" w:hAnsi="Times New Roman" w:cs="Times New Roman"/>
          <w:b/>
          <w:sz w:val="24"/>
          <w:szCs w:val="24"/>
          <w:lang w:val="pt-PT"/>
        </w:rPr>
      </w:pPr>
      <w:r>
        <w:rPr>
          <w:rFonts w:ascii="Times New Roman" w:hAnsi="Times New Roman" w:cs="Times New Roman"/>
          <w:b/>
          <w:sz w:val="24"/>
          <w:szCs w:val="24"/>
          <w:lang w:val="pt-PT"/>
        </w:rPr>
        <w:br w:type="page"/>
      </w:r>
    </w:p>
    <w:p w:rsidR="00715F5B" w:rsidRPr="00E2264A" w:rsidRDefault="00715F5B" w:rsidP="00715F5B">
      <w:pPr>
        <w:spacing w:line="360" w:lineRule="auto"/>
        <w:ind w:firstLine="708"/>
        <w:jc w:val="center"/>
        <w:rPr>
          <w:rFonts w:ascii="Times New Roman" w:hAnsi="Times New Roman" w:cs="Times New Roman"/>
          <w:b/>
          <w:sz w:val="24"/>
          <w:szCs w:val="24"/>
          <w:lang w:val="pt-PT"/>
        </w:rPr>
      </w:pPr>
      <w:r w:rsidRPr="00E2264A">
        <w:rPr>
          <w:rFonts w:ascii="Times New Roman" w:hAnsi="Times New Roman" w:cs="Times New Roman"/>
          <w:b/>
          <w:sz w:val="24"/>
          <w:szCs w:val="24"/>
          <w:lang w:val="pt-PT"/>
        </w:rPr>
        <w:lastRenderedPageBreak/>
        <w:t xml:space="preserve">Gráfico </w:t>
      </w:r>
      <w:r>
        <w:rPr>
          <w:rFonts w:ascii="Times New Roman" w:hAnsi="Times New Roman" w:cs="Times New Roman"/>
          <w:b/>
          <w:sz w:val="24"/>
          <w:szCs w:val="24"/>
          <w:lang w:val="pt-PT"/>
        </w:rPr>
        <w:t>5</w:t>
      </w:r>
      <w:r w:rsidRPr="00E2264A">
        <w:rPr>
          <w:rFonts w:ascii="Times New Roman" w:hAnsi="Times New Roman" w:cs="Times New Roman"/>
          <w:b/>
          <w:sz w:val="24"/>
          <w:szCs w:val="24"/>
          <w:lang w:val="pt-PT"/>
        </w:rPr>
        <w:t xml:space="preserve"> – Volume Mínimo Requerido de Combustíveis Renováveis</w:t>
      </w:r>
      <w:r>
        <w:rPr>
          <w:rFonts w:ascii="Times New Roman" w:hAnsi="Times New Roman" w:cs="Times New Roman"/>
          <w:b/>
          <w:sz w:val="24"/>
          <w:szCs w:val="24"/>
          <w:lang w:val="pt-PT"/>
        </w:rPr>
        <w:t xml:space="preserve"> por Categoria (b</w:t>
      </w:r>
      <w:r w:rsidRPr="00E2264A">
        <w:rPr>
          <w:rFonts w:ascii="Times New Roman" w:hAnsi="Times New Roman" w:cs="Times New Roman"/>
          <w:b/>
          <w:sz w:val="24"/>
          <w:szCs w:val="24"/>
          <w:lang w:val="pt-PT"/>
        </w:rPr>
        <w:t>ilhões de litros</w:t>
      </w:r>
      <w:r>
        <w:rPr>
          <w:rFonts w:ascii="Times New Roman" w:hAnsi="Times New Roman" w:cs="Times New Roman"/>
          <w:b/>
          <w:sz w:val="24"/>
          <w:szCs w:val="24"/>
          <w:lang w:val="pt-PT"/>
        </w:rPr>
        <w:t>) – RFS2</w:t>
      </w:r>
    </w:p>
    <w:p w:rsidR="00715F5B" w:rsidRDefault="00715F5B" w:rsidP="00715F5B">
      <w:pPr>
        <w:spacing w:line="360" w:lineRule="auto"/>
        <w:jc w:val="left"/>
        <w:rPr>
          <w:rFonts w:ascii="Times New Roman" w:hAnsi="Times New Roman" w:cs="Times New Roman"/>
          <w:sz w:val="24"/>
          <w:szCs w:val="24"/>
          <w:lang w:val="pt-PT"/>
        </w:rPr>
      </w:pPr>
    </w:p>
    <w:p w:rsidR="00715F5B" w:rsidRDefault="00715F5B" w:rsidP="00715F5B">
      <w:pPr>
        <w:spacing w:line="360" w:lineRule="auto"/>
        <w:jc w:val="left"/>
        <w:rPr>
          <w:rFonts w:ascii="Times New Roman" w:hAnsi="Times New Roman" w:cs="Times New Roman"/>
          <w:sz w:val="24"/>
          <w:szCs w:val="24"/>
          <w:lang w:val="pt-PT"/>
        </w:rPr>
      </w:pPr>
      <w:r w:rsidRPr="00810B86">
        <w:rPr>
          <w:rFonts w:ascii="Times New Roman" w:hAnsi="Times New Roman" w:cs="Times New Roman"/>
          <w:noProof/>
          <w:sz w:val="24"/>
          <w:szCs w:val="24"/>
          <w:lang w:eastAsia="pt-BR"/>
        </w:rPr>
        <w:drawing>
          <wp:inline distT="0" distB="0" distL="0" distR="0">
            <wp:extent cx="5981700" cy="3362325"/>
            <wp:effectExtent l="0" t="0" r="0" b="0"/>
            <wp:docPr id="1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15F5B" w:rsidRPr="00E2264A" w:rsidRDefault="00715F5B" w:rsidP="00715F5B">
      <w:pPr>
        <w:spacing w:line="360" w:lineRule="auto"/>
        <w:ind w:firstLine="708"/>
        <w:rPr>
          <w:rFonts w:ascii="Times New Roman" w:hAnsi="Times New Roman" w:cs="Times New Roman"/>
          <w:sz w:val="20"/>
          <w:szCs w:val="20"/>
          <w:lang w:val="pt-PT"/>
        </w:rPr>
      </w:pPr>
      <w:r w:rsidRPr="00E2264A">
        <w:rPr>
          <w:rFonts w:ascii="Times New Roman" w:hAnsi="Times New Roman" w:cs="Times New Roman"/>
          <w:sz w:val="20"/>
          <w:szCs w:val="20"/>
          <w:lang w:val="pt-PT"/>
        </w:rPr>
        <w:t>Fonte: EPA (2010)</w:t>
      </w:r>
    </w:p>
    <w:p w:rsidR="00715F5B" w:rsidRPr="00421DE9" w:rsidRDefault="00715F5B" w:rsidP="00715F5B">
      <w:pPr>
        <w:spacing w:line="360" w:lineRule="auto"/>
        <w:ind w:firstLine="708"/>
        <w:rPr>
          <w:rFonts w:ascii="Times New Roman" w:hAnsi="Times New Roman" w:cs="Times New Roman"/>
          <w:sz w:val="24"/>
          <w:szCs w:val="24"/>
        </w:rPr>
      </w:pPr>
    </w:p>
    <w:p w:rsidR="00715F5B" w:rsidRDefault="00715F5B" w:rsidP="00715F5B">
      <w:pPr>
        <w:spacing w:line="360" w:lineRule="auto"/>
        <w:ind w:firstLine="708"/>
        <w:rPr>
          <w:rFonts w:ascii="Times New Roman" w:hAnsi="Times New Roman" w:cs="Times New Roman"/>
          <w:sz w:val="24"/>
          <w:szCs w:val="24"/>
        </w:rPr>
      </w:pPr>
      <w:r w:rsidRPr="00D563AB">
        <w:rPr>
          <w:rFonts w:ascii="Times New Roman" w:hAnsi="Times New Roman" w:cs="Times New Roman"/>
          <w:sz w:val="24"/>
          <w:szCs w:val="24"/>
        </w:rPr>
        <w:t>A EPA conclui</w:t>
      </w:r>
      <w:r>
        <w:rPr>
          <w:rFonts w:ascii="Times New Roman" w:hAnsi="Times New Roman" w:cs="Times New Roman"/>
          <w:sz w:val="24"/>
          <w:szCs w:val="24"/>
        </w:rPr>
        <w:t>u</w:t>
      </w:r>
      <w:r w:rsidRPr="00D563AB">
        <w:rPr>
          <w:rFonts w:ascii="Times New Roman" w:hAnsi="Times New Roman" w:cs="Times New Roman"/>
          <w:sz w:val="24"/>
          <w:szCs w:val="24"/>
        </w:rPr>
        <w:t xml:space="preserve"> que biobutanol produzido em conformidade</w:t>
      </w:r>
      <w:r>
        <w:rPr>
          <w:rFonts w:ascii="Times New Roman" w:hAnsi="Times New Roman" w:cs="Times New Roman"/>
          <w:sz w:val="24"/>
          <w:szCs w:val="24"/>
        </w:rPr>
        <w:t xml:space="preserve"> </w:t>
      </w:r>
      <w:r w:rsidRPr="00D563AB">
        <w:rPr>
          <w:rFonts w:ascii="Times New Roman" w:hAnsi="Times New Roman" w:cs="Times New Roman"/>
          <w:sz w:val="24"/>
          <w:szCs w:val="24"/>
        </w:rPr>
        <w:t>com os requisitos desta</w:t>
      </w:r>
      <w:r>
        <w:rPr>
          <w:rFonts w:ascii="Times New Roman" w:hAnsi="Times New Roman" w:cs="Times New Roman"/>
          <w:sz w:val="24"/>
          <w:szCs w:val="24"/>
        </w:rPr>
        <w:t xml:space="preserve"> rota resulta em</w:t>
      </w:r>
      <w:r w:rsidRPr="00D563AB">
        <w:rPr>
          <w:rFonts w:ascii="Times New Roman" w:hAnsi="Times New Roman" w:cs="Times New Roman"/>
          <w:sz w:val="24"/>
          <w:szCs w:val="24"/>
        </w:rPr>
        <w:t xml:space="preserve"> redução </w:t>
      </w:r>
      <w:r>
        <w:rPr>
          <w:rFonts w:ascii="Times New Roman" w:hAnsi="Times New Roman" w:cs="Times New Roman"/>
          <w:sz w:val="24"/>
          <w:szCs w:val="24"/>
        </w:rPr>
        <w:t xml:space="preserve">de aproximadamente 30% das emissões de GEE durante todo </w:t>
      </w:r>
      <w:r w:rsidRPr="00D563AB">
        <w:rPr>
          <w:rFonts w:ascii="Times New Roman" w:hAnsi="Times New Roman" w:cs="Times New Roman"/>
          <w:sz w:val="24"/>
          <w:szCs w:val="24"/>
        </w:rPr>
        <w:t xml:space="preserve">ciclo de </w:t>
      </w:r>
      <w:r>
        <w:rPr>
          <w:rFonts w:ascii="Times New Roman" w:hAnsi="Times New Roman" w:cs="Times New Roman"/>
          <w:sz w:val="24"/>
          <w:szCs w:val="24"/>
        </w:rPr>
        <w:t>vida</w:t>
      </w:r>
      <w:r w:rsidRPr="00D563AB">
        <w:rPr>
          <w:rFonts w:ascii="Times New Roman" w:hAnsi="Times New Roman" w:cs="Times New Roman"/>
          <w:sz w:val="24"/>
          <w:szCs w:val="24"/>
        </w:rPr>
        <w:t xml:space="preserve"> em comparação com </w:t>
      </w:r>
      <w:r>
        <w:rPr>
          <w:rFonts w:ascii="Times New Roman" w:hAnsi="Times New Roman" w:cs="Times New Roman"/>
          <w:sz w:val="24"/>
          <w:szCs w:val="24"/>
        </w:rPr>
        <w:t>a linha de base. Este é um valor médio dentro do intervalo de confiança que varia de 20% a 40%, considerando as incertezas relativas às emissões indiretas decorrentes de mudanças no uso da terra.</w:t>
      </w:r>
    </w:p>
    <w:p w:rsidR="00715F5B" w:rsidRDefault="00715F5B" w:rsidP="00715F5B">
      <w:pPr>
        <w:spacing w:line="360" w:lineRule="auto"/>
        <w:ind w:firstLine="708"/>
        <w:rPr>
          <w:rFonts w:ascii="Times New Roman" w:hAnsi="Times New Roman" w:cs="Times New Roman"/>
          <w:sz w:val="24"/>
          <w:szCs w:val="24"/>
        </w:rPr>
      </w:pPr>
      <w:r>
        <w:rPr>
          <w:rFonts w:ascii="Times New Roman" w:hAnsi="Times New Roman" w:cs="Times New Roman"/>
          <w:sz w:val="24"/>
          <w:szCs w:val="24"/>
          <w:lang w:val="pt-PT"/>
        </w:rPr>
        <w:t xml:space="preserve">Atualmente existe apenas uma rota de produção de biobutanol autorizada no âmbito do RFS2, cuja matéria-prima é o amido de milho. O produto resultante do processo já registrado é elegível apenas à categoria de “combustível renovável”, o que representa o principal entrave para que sua ampla comercialização seja efetivada. </w:t>
      </w:r>
      <w:r w:rsidRPr="00891EFF">
        <w:rPr>
          <w:rFonts w:ascii="Times New Roman" w:hAnsi="Times New Roman" w:cs="Times New Roman"/>
          <w:sz w:val="24"/>
          <w:szCs w:val="24"/>
        </w:rPr>
        <w:t>Enquanto o biobutanol for classificado como "combustível renovável" não haverá incentivo para</w:t>
      </w:r>
      <w:r>
        <w:rPr>
          <w:rFonts w:ascii="Times New Roman" w:hAnsi="Times New Roman" w:cs="Times New Roman"/>
          <w:sz w:val="24"/>
          <w:szCs w:val="24"/>
        </w:rPr>
        <w:t xml:space="preserve"> que os produtores de etanol realizem os investimentos necessários em suas plantas industriais, pois as metas da cate</w:t>
      </w:r>
      <w:r w:rsidR="00C23E38">
        <w:rPr>
          <w:rFonts w:ascii="Times New Roman" w:hAnsi="Times New Roman" w:cs="Times New Roman"/>
          <w:sz w:val="24"/>
          <w:szCs w:val="24"/>
        </w:rPr>
        <w:t>goria, que atingem o teto de 15 bilhões de galões em 2015 (gráfico 5), podem facilmente ser cumpridas</w:t>
      </w:r>
      <w:r>
        <w:rPr>
          <w:rFonts w:ascii="Times New Roman" w:hAnsi="Times New Roman" w:cs="Times New Roman"/>
          <w:sz w:val="24"/>
          <w:szCs w:val="24"/>
        </w:rPr>
        <w:t xml:space="preserve"> com o etanol convencional de milho, considerando-se a capa</w:t>
      </w:r>
      <w:r w:rsidR="00C23E38">
        <w:rPr>
          <w:rFonts w:ascii="Times New Roman" w:hAnsi="Times New Roman" w:cs="Times New Roman"/>
          <w:sz w:val="24"/>
          <w:szCs w:val="24"/>
        </w:rPr>
        <w:t>cidade instalada da indústria</w:t>
      </w:r>
      <w:r w:rsidRPr="00891EFF">
        <w:rPr>
          <w:rFonts w:ascii="Times New Roman" w:hAnsi="Times New Roman" w:cs="Times New Roman"/>
          <w:sz w:val="24"/>
          <w:szCs w:val="24"/>
        </w:rPr>
        <w:t xml:space="preserve">. </w:t>
      </w:r>
      <w:r>
        <w:rPr>
          <w:rFonts w:ascii="Times New Roman" w:hAnsi="Times New Roman" w:cs="Times New Roman"/>
          <w:sz w:val="24"/>
          <w:szCs w:val="24"/>
        </w:rPr>
        <w:t xml:space="preserve">As </w:t>
      </w:r>
      <w:r w:rsidRPr="00891EFF">
        <w:rPr>
          <w:rFonts w:ascii="Times New Roman" w:hAnsi="Times New Roman" w:cs="Times New Roman"/>
          <w:sz w:val="24"/>
          <w:szCs w:val="24"/>
        </w:rPr>
        <w:t>oportunidade</w:t>
      </w:r>
      <w:r>
        <w:rPr>
          <w:rFonts w:ascii="Times New Roman" w:hAnsi="Times New Roman" w:cs="Times New Roman"/>
          <w:sz w:val="24"/>
          <w:szCs w:val="24"/>
        </w:rPr>
        <w:t>s de acesso a</w:t>
      </w:r>
      <w:r w:rsidRPr="00891EFF">
        <w:rPr>
          <w:rFonts w:ascii="Times New Roman" w:hAnsi="Times New Roman" w:cs="Times New Roman"/>
          <w:sz w:val="24"/>
          <w:szCs w:val="24"/>
        </w:rPr>
        <w:t xml:space="preserve"> outro</w:t>
      </w:r>
      <w:r>
        <w:rPr>
          <w:rFonts w:ascii="Times New Roman" w:hAnsi="Times New Roman" w:cs="Times New Roman"/>
          <w:sz w:val="24"/>
          <w:szCs w:val="24"/>
        </w:rPr>
        <w:t>s</w:t>
      </w:r>
      <w:r w:rsidRPr="00891EFF">
        <w:rPr>
          <w:rFonts w:ascii="Times New Roman" w:hAnsi="Times New Roman" w:cs="Times New Roman"/>
          <w:sz w:val="24"/>
          <w:szCs w:val="24"/>
        </w:rPr>
        <w:t xml:space="preserve"> mercado</w:t>
      </w:r>
      <w:r>
        <w:rPr>
          <w:rFonts w:ascii="Times New Roman" w:hAnsi="Times New Roman" w:cs="Times New Roman"/>
          <w:sz w:val="24"/>
          <w:szCs w:val="24"/>
        </w:rPr>
        <w:t>s</w:t>
      </w:r>
      <w:r w:rsidRPr="00891EFF">
        <w:rPr>
          <w:rFonts w:ascii="Times New Roman" w:hAnsi="Times New Roman" w:cs="Times New Roman"/>
          <w:sz w:val="24"/>
          <w:szCs w:val="24"/>
        </w:rPr>
        <w:t xml:space="preserve"> cativo</w:t>
      </w:r>
      <w:r>
        <w:rPr>
          <w:rFonts w:ascii="Times New Roman" w:hAnsi="Times New Roman" w:cs="Times New Roman"/>
          <w:sz w:val="24"/>
          <w:szCs w:val="24"/>
        </w:rPr>
        <w:t>s, como o de biocombustíveis avançados ou celulósicos, dependem da qualificação das tecnologias disponíveis</w:t>
      </w:r>
      <w:r w:rsidRPr="00891EFF">
        <w:rPr>
          <w:rFonts w:ascii="Times New Roman" w:hAnsi="Times New Roman" w:cs="Times New Roman"/>
          <w:sz w:val="24"/>
          <w:szCs w:val="24"/>
        </w:rPr>
        <w:t>.</w:t>
      </w:r>
    </w:p>
    <w:p w:rsidR="00715F5B" w:rsidRDefault="00715F5B" w:rsidP="00715F5B">
      <w:pPr>
        <w:spacing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Por outro lado, os mercados cativos para biocombustíveis avançados e celulósicos estão longe da saturação e, caso novas rotas para a produção de biobutanol sejam aprovadas, a abertura desses mercados pode criar incentivos para os produtores investirem na adaptação (</w:t>
      </w:r>
      <w:r w:rsidRPr="00BF3736">
        <w:rPr>
          <w:rFonts w:ascii="Times New Roman" w:hAnsi="Times New Roman" w:cs="Times New Roman"/>
          <w:i/>
          <w:sz w:val="24"/>
          <w:szCs w:val="24"/>
        </w:rPr>
        <w:t>retrofit</w:t>
      </w:r>
      <w:r>
        <w:rPr>
          <w:rFonts w:ascii="Times New Roman" w:hAnsi="Times New Roman" w:cs="Times New Roman"/>
          <w:sz w:val="24"/>
          <w:szCs w:val="24"/>
        </w:rPr>
        <w:t>) das plantas industriais, amortizando o investimento em capital fixo já realizado nas usinas de etanol de milho.</w:t>
      </w:r>
    </w:p>
    <w:p w:rsidR="00715F5B" w:rsidRPr="008A1055" w:rsidRDefault="00715F5B" w:rsidP="00715F5B">
      <w:pPr>
        <w:spacing w:line="360" w:lineRule="auto"/>
        <w:rPr>
          <w:rFonts w:ascii="Times New Roman" w:hAnsi="Times New Roman" w:cs="Times New Roman"/>
          <w:sz w:val="24"/>
          <w:szCs w:val="24"/>
        </w:rPr>
      </w:pPr>
      <w:r>
        <w:rPr>
          <w:rFonts w:ascii="Times New Roman" w:hAnsi="Times New Roman" w:cs="Times New Roman"/>
          <w:sz w:val="24"/>
          <w:szCs w:val="24"/>
        </w:rPr>
        <w:tab/>
        <w:t>Ao passarem por esse processo de readaptação, as usinas mais modernas e eficientes possivelmente conseguiriam comprovar que o biobutanol é capaz de reduzir em 50% as emissões de GEE, satisfazendo assim a principal condição para ser considerado um biocombustível avançado. As mais antigas, por sua vez, teriam de contar também com tecnologias mais avançadas, como o fracionamento e extração do óleo de milho, hidrólise do bagaço ou separação de membranas. Há também pesquisas voltadas à modificação genética do milho visando a aumentar a eficiência do processo de fermentação do álcool. Se o desenvolvimento dessas variedades for bem-sucedido, elas poderão contribuir para uma redução ainda maior de emissões de GEE.</w:t>
      </w:r>
    </w:p>
    <w:p w:rsidR="00715F5B" w:rsidRDefault="00715F5B" w:rsidP="00715F5B">
      <w:pPr>
        <w:spacing w:line="360" w:lineRule="auto"/>
        <w:ind w:firstLine="708"/>
        <w:rPr>
          <w:rFonts w:ascii="Times New Roman" w:hAnsi="Times New Roman" w:cs="Times New Roman"/>
          <w:sz w:val="24"/>
          <w:szCs w:val="24"/>
        </w:rPr>
      </w:pPr>
      <w:r>
        <w:rPr>
          <w:rFonts w:ascii="Times New Roman" w:hAnsi="Times New Roman" w:cs="Times New Roman"/>
          <w:sz w:val="24"/>
          <w:szCs w:val="24"/>
        </w:rPr>
        <w:t>Ainda segundo Slating e Kesan, a dificuldade em fazer com que o biobutanol seja considerado um biocombustível avançado, mesmo que haja evidência de que ele efetivamente reduz em 50% as emissões de GEE, pode ser maior se prevalecer o desprezo em relação a quaisquer biocombustíveis produzidos a partir de milho que prevalece nas decisões do Congresso norte-americano.</w:t>
      </w:r>
    </w:p>
    <w:p w:rsidR="00715F5B" w:rsidRPr="002E5BE3"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O principal argumento destes autores </w:t>
      </w:r>
      <w:r w:rsidRPr="002E5BE3">
        <w:rPr>
          <w:rFonts w:ascii="Times New Roman" w:hAnsi="Times New Roman" w:cs="Times New Roman"/>
          <w:sz w:val="24"/>
          <w:szCs w:val="24"/>
          <w:lang w:val="pt-PT"/>
        </w:rPr>
        <w:t>é que a estrutura regulatória provida pelo CAA para novos combustíveis e aditivos de combustíveis, ao determinar efetivamente o volume de biocombustíveis que pode ser misturado em combustíveis finais aba</w:t>
      </w:r>
      <w:r>
        <w:rPr>
          <w:rFonts w:ascii="Times New Roman" w:hAnsi="Times New Roman" w:cs="Times New Roman"/>
          <w:sz w:val="24"/>
          <w:szCs w:val="24"/>
          <w:lang w:val="pt-PT"/>
        </w:rPr>
        <w:t>ixo do nível “socialmente ótimo”</w:t>
      </w:r>
      <w:r w:rsidRPr="002E5BE3">
        <w:rPr>
          <w:rFonts w:ascii="Times New Roman" w:hAnsi="Times New Roman" w:cs="Times New Roman"/>
          <w:sz w:val="24"/>
          <w:szCs w:val="24"/>
          <w:lang w:val="pt-PT"/>
        </w:rPr>
        <w:t xml:space="preserve">, reduz a capacidade de capturar os benefícios sociais produzidos por novos biocombustíveis relacionados a inovações tecnológicas. </w:t>
      </w:r>
    </w:p>
    <w:p w:rsidR="00715F5B" w:rsidRDefault="00715F5B" w:rsidP="00715F5B">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Desse modo, busca-se identificar as maneiras pelas quais seria possível aumentar a participação do biobutanol no RFS2. A primeira delas recorre à regra do “substancialmente similar” imposta pelo CAA, que determina que “combustíveis contendo éteres e/ou alcoóis (exceto metanol) alifáticos não devem conter mais do que 2,7% de oxigênio em peso” </w:t>
      </w:r>
      <w:r>
        <w:rPr>
          <w:rStyle w:val="Refdenotaderodap"/>
          <w:rFonts w:ascii="Times New Roman" w:hAnsi="Times New Roman" w:cs="Times New Roman"/>
          <w:sz w:val="24"/>
          <w:szCs w:val="24"/>
        </w:rPr>
        <w:footnoteReference w:id="33"/>
      </w:r>
      <w:r>
        <w:rPr>
          <w:rFonts w:ascii="Times New Roman" w:hAnsi="Times New Roman" w:cs="Times New Roman"/>
          <w:sz w:val="24"/>
          <w:szCs w:val="24"/>
        </w:rPr>
        <w:t>. Isso implicaria um limite de 11,5% para a mistura de biobutanol na gasolina, em volume, que seria um combustível substancialmente similar à gasolina pura</w:t>
      </w:r>
      <w:r>
        <w:rPr>
          <w:rStyle w:val="Refdenotaderodap"/>
          <w:rFonts w:ascii="Times New Roman" w:hAnsi="Times New Roman" w:cs="Times New Roman"/>
          <w:sz w:val="24"/>
          <w:szCs w:val="24"/>
        </w:rPr>
        <w:footnoteReference w:id="34"/>
      </w:r>
      <w:r>
        <w:rPr>
          <w:rFonts w:ascii="Times New Roman" w:hAnsi="Times New Roman" w:cs="Times New Roman"/>
          <w:sz w:val="24"/>
          <w:szCs w:val="24"/>
        </w:rPr>
        <w:t xml:space="preserve">. </w:t>
      </w:r>
    </w:p>
    <w:p w:rsidR="00715F5B" w:rsidRDefault="00715F5B" w:rsidP="00715F5B">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Há, porém, organizações e pesquisadores que defendem que o biobutanol poderia ser usado nos veículos atuais em concentrações mais elevadas, inclusive na forma pura, com </w:t>
      </w:r>
      <w:r>
        <w:rPr>
          <w:rFonts w:ascii="Times New Roman" w:hAnsi="Times New Roman" w:cs="Times New Roman"/>
          <w:sz w:val="24"/>
          <w:szCs w:val="24"/>
        </w:rPr>
        <w:lastRenderedPageBreak/>
        <w:t>pequenas ou nenhuma modificação</w:t>
      </w:r>
      <w:r>
        <w:rPr>
          <w:rStyle w:val="Refdenotaderodap"/>
          <w:rFonts w:ascii="Times New Roman" w:hAnsi="Times New Roman" w:cs="Times New Roman"/>
          <w:sz w:val="24"/>
          <w:szCs w:val="24"/>
        </w:rPr>
        <w:footnoteReference w:id="35"/>
      </w:r>
      <w:r>
        <w:rPr>
          <w:rFonts w:ascii="Times New Roman" w:hAnsi="Times New Roman" w:cs="Times New Roman"/>
          <w:sz w:val="24"/>
          <w:szCs w:val="24"/>
        </w:rPr>
        <w:t xml:space="preserve">. Isso seria possível se a EPA aumentasse o limite de oxigênio permitido no combustível, como ocorreu em 2008, quando passou de 2% para 2,7%, porém não há garantias de que venha a ocorrer novamente. </w:t>
      </w:r>
    </w:p>
    <w:p w:rsidR="00715F5B" w:rsidRDefault="00715F5B" w:rsidP="00715F5B">
      <w:pPr>
        <w:spacing w:line="360" w:lineRule="auto"/>
        <w:ind w:firstLine="708"/>
        <w:rPr>
          <w:rFonts w:ascii="Times New Roman" w:hAnsi="Times New Roman" w:cs="Times New Roman"/>
          <w:sz w:val="24"/>
          <w:szCs w:val="24"/>
        </w:rPr>
      </w:pPr>
      <w:r>
        <w:rPr>
          <w:rFonts w:ascii="Times New Roman" w:hAnsi="Times New Roman" w:cs="Times New Roman"/>
          <w:sz w:val="24"/>
          <w:szCs w:val="24"/>
        </w:rPr>
        <w:t>Devido às incertezas quanto às emissões e compatibilidade de materiais, a EPA tem optado por induzir os requerentes de combustíveis com teor mais elevado de oxigênio ao processo de retirada da proibição (</w:t>
      </w:r>
      <w:r w:rsidRPr="008D0763">
        <w:rPr>
          <w:rFonts w:ascii="Times New Roman" w:hAnsi="Times New Roman" w:cs="Times New Roman"/>
          <w:i/>
          <w:sz w:val="24"/>
          <w:szCs w:val="24"/>
        </w:rPr>
        <w:t>fuel waiver</w:t>
      </w:r>
      <w:r>
        <w:rPr>
          <w:rFonts w:ascii="Times New Roman" w:hAnsi="Times New Roman" w:cs="Times New Roman"/>
          <w:sz w:val="24"/>
          <w:szCs w:val="24"/>
        </w:rPr>
        <w:t xml:space="preserve">). Portanto, ao atingir o limite de 11,5% de biobutanol na mistura com a gasolina, os produtores podem recorrer ao </w:t>
      </w:r>
      <w:r w:rsidRPr="00A02108">
        <w:rPr>
          <w:rFonts w:ascii="Times New Roman" w:hAnsi="Times New Roman" w:cs="Times New Roman"/>
          <w:i/>
          <w:sz w:val="24"/>
          <w:szCs w:val="24"/>
        </w:rPr>
        <w:t xml:space="preserve">fuel waiver </w:t>
      </w:r>
      <w:r w:rsidR="006F7048">
        <w:rPr>
          <w:rFonts w:ascii="Times New Roman" w:hAnsi="Times New Roman" w:cs="Times New Roman"/>
          <w:sz w:val="24"/>
          <w:szCs w:val="24"/>
        </w:rPr>
        <w:t>para aumentar esse</w:t>
      </w:r>
      <w:r>
        <w:rPr>
          <w:rFonts w:ascii="Times New Roman" w:hAnsi="Times New Roman" w:cs="Times New Roman"/>
          <w:sz w:val="24"/>
          <w:szCs w:val="24"/>
        </w:rPr>
        <w:t xml:space="preserve"> percentual, porém sem garantias de que a proposta será aceita.</w:t>
      </w:r>
    </w:p>
    <w:p w:rsidR="00715F5B" w:rsidRDefault="00715F5B" w:rsidP="00715F5B">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O requerente do novo combustível pode fazer uso de um </w:t>
      </w:r>
      <w:r w:rsidRPr="00542FDB">
        <w:rPr>
          <w:rFonts w:ascii="Times New Roman" w:hAnsi="Times New Roman" w:cs="Times New Roman"/>
          <w:i/>
          <w:sz w:val="24"/>
          <w:szCs w:val="24"/>
        </w:rPr>
        <w:t>waiver</w:t>
      </w:r>
      <w:r>
        <w:rPr>
          <w:rFonts w:ascii="Times New Roman" w:hAnsi="Times New Roman" w:cs="Times New Roman"/>
          <w:sz w:val="24"/>
          <w:szCs w:val="24"/>
        </w:rPr>
        <w:t xml:space="preserve"> já existente ou realizar um novo pedido. Até 2011, a EPA processou 25 pedidos de </w:t>
      </w:r>
      <w:r w:rsidRPr="0026795A">
        <w:rPr>
          <w:rFonts w:ascii="Times New Roman" w:hAnsi="Times New Roman" w:cs="Times New Roman"/>
          <w:i/>
          <w:sz w:val="24"/>
          <w:szCs w:val="24"/>
        </w:rPr>
        <w:t>fuel waiver</w:t>
      </w:r>
      <w:r>
        <w:rPr>
          <w:rFonts w:ascii="Times New Roman" w:hAnsi="Times New Roman" w:cs="Times New Roman"/>
          <w:sz w:val="24"/>
          <w:szCs w:val="24"/>
        </w:rPr>
        <w:t xml:space="preserve">, dos quais onze foram negados, seis foram concedidos, cinco foram concedidos com restrições, dois foram retirados pelos requerentes, enquanto um foi concedido sem decisão por força da lei (SLATING; KESAN, </w:t>
      </w:r>
      <w:r w:rsidRPr="004F419F">
        <w:rPr>
          <w:rFonts w:ascii="Times New Roman" w:hAnsi="Times New Roman" w:cs="Times New Roman"/>
          <w:sz w:val="24"/>
          <w:szCs w:val="24"/>
        </w:rPr>
        <w:t>2011</w:t>
      </w:r>
      <w:r>
        <w:rPr>
          <w:rFonts w:ascii="Times New Roman" w:hAnsi="Times New Roman" w:cs="Times New Roman"/>
          <w:sz w:val="24"/>
          <w:szCs w:val="24"/>
        </w:rPr>
        <w:t xml:space="preserve">). </w:t>
      </w:r>
    </w:p>
    <w:p w:rsidR="00715F5B" w:rsidRDefault="00715F5B" w:rsidP="00715F5B">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Para o caso em análise, há dois </w:t>
      </w:r>
      <w:r w:rsidRPr="00A02108">
        <w:rPr>
          <w:rFonts w:ascii="Times New Roman" w:hAnsi="Times New Roman" w:cs="Times New Roman"/>
          <w:i/>
          <w:sz w:val="24"/>
          <w:szCs w:val="24"/>
        </w:rPr>
        <w:t>waivers</w:t>
      </w:r>
      <w:r>
        <w:rPr>
          <w:rFonts w:ascii="Times New Roman" w:hAnsi="Times New Roman" w:cs="Times New Roman"/>
          <w:sz w:val="24"/>
          <w:szCs w:val="24"/>
        </w:rPr>
        <w:t xml:space="preserve"> que possivelmente permitiriam a mistura de até 16% de butanol. O primeiro deles é de 1985 e foi requerido pela DuPont para comercialização de uma mistura de gasolina e metanol, sendo proporção máxima deste de 5% do volume no combustível final. A adição do butanol à mistura é permitida na medida em que este funciona como um cossolvente</w:t>
      </w:r>
      <w:r>
        <w:rPr>
          <w:rStyle w:val="Refdenotaderodap"/>
          <w:rFonts w:ascii="Times New Roman" w:hAnsi="Times New Roman" w:cs="Times New Roman"/>
          <w:sz w:val="24"/>
          <w:szCs w:val="24"/>
        </w:rPr>
        <w:footnoteReference w:id="36"/>
      </w:r>
      <w:r>
        <w:rPr>
          <w:rFonts w:ascii="Times New Roman" w:hAnsi="Times New Roman" w:cs="Times New Roman"/>
          <w:sz w:val="24"/>
          <w:szCs w:val="24"/>
        </w:rPr>
        <w:t>, substância requerida na proporção mínima de 2,5% do volume, e a concentração de oxigênio no combustível final deve ser de no máximo 3,7%. Como a autorização impõe apenas um limite máximo para o metanol, o combustível final, em tese, pode ser uma mistura de gasolina e butanol.</w:t>
      </w:r>
    </w:p>
    <w:p w:rsidR="00715F5B" w:rsidRDefault="00715F5B" w:rsidP="00715F5B">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O segundo </w:t>
      </w:r>
      <w:r w:rsidRPr="00481867">
        <w:rPr>
          <w:rFonts w:ascii="Times New Roman" w:hAnsi="Times New Roman" w:cs="Times New Roman"/>
          <w:i/>
          <w:sz w:val="24"/>
          <w:szCs w:val="24"/>
        </w:rPr>
        <w:t>waiver</w:t>
      </w:r>
      <w:r>
        <w:rPr>
          <w:rFonts w:ascii="Times New Roman" w:hAnsi="Times New Roman" w:cs="Times New Roman"/>
          <w:sz w:val="24"/>
          <w:szCs w:val="24"/>
        </w:rPr>
        <w:t xml:space="preserve">, solicitado em 1988 pela </w:t>
      </w:r>
      <w:r w:rsidRPr="005149C7">
        <w:rPr>
          <w:rFonts w:ascii="Times New Roman" w:hAnsi="Times New Roman" w:cs="Times New Roman"/>
          <w:i/>
          <w:sz w:val="24"/>
          <w:szCs w:val="24"/>
        </w:rPr>
        <w:t>Texas Methanol Corporation</w:t>
      </w:r>
      <w:r>
        <w:rPr>
          <w:rFonts w:ascii="Times New Roman" w:hAnsi="Times New Roman" w:cs="Times New Roman"/>
          <w:sz w:val="24"/>
          <w:szCs w:val="24"/>
        </w:rPr>
        <w:t xml:space="preserve"> (Octamix), basicamente apresenta as mesmas condições para o uso do butanol como cossolvente em um combustível final formado por gasolina e metanol. Como os pareceres informam apenas o volume mínimo requerido de cossolvente, o que efetivamente limita a porcentagem de butanol em 16% é a concentração de oxigênio no combustível final</w:t>
      </w:r>
      <w:r>
        <w:rPr>
          <w:rStyle w:val="Refdenotaderodap"/>
          <w:rFonts w:ascii="Times New Roman" w:hAnsi="Times New Roman" w:cs="Times New Roman"/>
          <w:sz w:val="24"/>
          <w:szCs w:val="24"/>
          <w:lang w:val="en-US"/>
        </w:rPr>
        <w:footnoteReference w:id="37"/>
      </w:r>
      <w:r w:rsidRPr="00481867">
        <w:rPr>
          <w:rFonts w:ascii="Times New Roman" w:hAnsi="Times New Roman" w:cs="Times New Roman"/>
          <w:sz w:val="24"/>
          <w:szCs w:val="24"/>
        </w:rPr>
        <w:t>.</w:t>
      </w:r>
    </w:p>
    <w:p w:rsidR="00715F5B" w:rsidRDefault="00715F5B" w:rsidP="00715F5B">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Apesar de esses dois </w:t>
      </w:r>
      <w:r w:rsidRPr="00F4523A">
        <w:rPr>
          <w:rFonts w:ascii="Times New Roman" w:hAnsi="Times New Roman" w:cs="Times New Roman"/>
          <w:i/>
          <w:sz w:val="24"/>
          <w:szCs w:val="24"/>
        </w:rPr>
        <w:t>waivers</w:t>
      </w:r>
      <w:r>
        <w:rPr>
          <w:rFonts w:ascii="Times New Roman" w:hAnsi="Times New Roman" w:cs="Times New Roman"/>
          <w:sz w:val="24"/>
          <w:szCs w:val="24"/>
        </w:rPr>
        <w:t xml:space="preserve"> abrirem a possibilidade de comercialização do Bu16, combustível composto por 84% de gasolina e 16% de butanol, o registro na EPA e autorização para comercialização não é garantido. Em primeiro lugar, porque em ambos os casos, faz-se referência ao butanol como um cossolvente, que tem a finalidade de amenizar </w:t>
      </w:r>
      <w:r>
        <w:rPr>
          <w:rFonts w:ascii="Times New Roman" w:hAnsi="Times New Roman" w:cs="Times New Roman"/>
          <w:sz w:val="24"/>
          <w:szCs w:val="24"/>
        </w:rPr>
        <w:lastRenderedPageBreak/>
        <w:t xml:space="preserve">alguns efeitos adversos provenientes do metanol presente na mistura. A EPA, nesse caso, pode argumentar que alguma quantidade de metanol é necessária para que seja adicionado o cossolvente. Segundo, apesar de os </w:t>
      </w:r>
      <w:r w:rsidRPr="00CF0B56">
        <w:rPr>
          <w:rFonts w:ascii="Times New Roman" w:hAnsi="Times New Roman" w:cs="Times New Roman"/>
          <w:i/>
          <w:sz w:val="24"/>
          <w:szCs w:val="24"/>
        </w:rPr>
        <w:t>waivers</w:t>
      </w:r>
      <w:r>
        <w:rPr>
          <w:rFonts w:ascii="Times New Roman" w:hAnsi="Times New Roman" w:cs="Times New Roman"/>
          <w:sz w:val="24"/>
          <w:szCs w:val="24"/>
        </w:rPr>
        <w:t xml:space="preserve"> concedidos serem aplicáveis a todos os produtores sem que a EPA possa revogá-los posteriormente, até o presente nenhum produtor de aditivos tentou registrar um novo biocombustível com base em um </w:t>
      </w:r>
      <w:r w:rsidRPr="00CF0B56">
        <w:rPr>
          <w:rFonts w:ascii="Times New Roman" w:hAnsi="Times New Roman" w:cs="Times New Roman"/>
          <w:i/>
          <w:sz w:val="24"/>
          <w:szCs w:val="24"/>
        </w:rPr>
        <w:t>waiver</w:t>
      </w:r>
      <w:r>
        <w:rPr>
          <w:rFonts w:ascii="Times New Roman" w:hAnsi="Times New Roman" w:cs="Times New Roman"/>
          <w:sz w:val="24"/>
          <w:szCs w:val="24"/>
        </w:rPr>
        <w:t xml:space="preserve"> já concedido, o que torna incerto o modo como responderá a agência à nova demanda.</w:t>
      </w:r>
    </w:p>
    <w:p w:rsidR="00715F5B" w:rsidRDefault="00715F5B" w:rsidP="00715F5B">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A terceira opção para a comercialização do biobutanol exige um novo </w:t>
      </w:r>
      <w:r w:rsidRPr="00F422A8">
        <w:rPr>
          <w:rFonts w:ascii="Times New Roman" w:hAnsi="Times New Roman" w:cs="Times New Roman"/>
          <w:i/>
          <w:sz w:val="24"/>
          <w:szCs w:val="24"/>
        </w:rPr>
        <w:t>waiver</w:t>
      </w:r>
      <w:r>
        <w:rPr>
          <w:rFonts w:ascii="Times New Roman" w:hAnsi="Times New Roman" w:cs="Times New Roman"/>
          <w:sz w:val="24"/>
          <w:szCs w:val="24"/>
        </w:rPr>
        <w:t xml:space="preserve"> e o processo para sua obtenção é mais difícil do que os anteriormente mencionados. Essa opção, apesar de ser mais custosa, permitiria que o butanol fosse comercializado em proporção superior a 16%, na mistura com a gasolina fóssil. </w:t>
      </w:r>
    </w:p>
    <w:p w:rsidR="00715F5B" w:rsidRDefault="00715F5B" w:rsidP="00715F5B">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A EPA tem autoridade para conceder ou negar o pedido de retirada da proibição e exige que o requerente apresente testes capazes de comprovar que o </w:t>
      </w:r>
      <w:r w:rsidRPr="006467C2">
        <w:rPr>
          <w:rFonts w:ascii="Times New Roman" w:hAnsi="Times New Roman" w:cs="Times New Roman"/>
          <w:i/>
          <w:sz w:val="24"/>
          <w:szCs w:val="24"/>
        </w:rPr>
        <w:t>waiver</w:t>
      </w:r>
      <w:r>
        <w:rPr>
          <w:rFonts w:ascii="Times New Roman" w:hAnsi="Times New Roman" w:cs="Times New Roman"/>
          <w:sz w:val="24"/>
          <w:szCs w:val="24"/>
        </w:rPr>
        <w:t xml:space="preserve"> não causará nem contribuirá para a ocorrência de falhas de nenhum sistema ou equipamento de controle de emissões. O requerente deve assumir responsabilidade pelo novo combustível, declarando que nenhum veículo ou máquina deixará de atender aos padrões de emissões para os quais foram certificados.</w:t>
      </w:r>
    </w:p>
    <w:p w:rsidR="00715F5B" w:rsidRDefault="00715F5B" w:rsidP="00715F5B">
      <w:pPr>
        <w:spacing w:line="360" w:lineRule="auto"/>
        <w:ind w:firstLine="708"/>
        <w:rPr>
          <w:rFonts w:ascii="Times New Roman" w:hAnsi="Times New Roman" w:cs="Times New Roman"/>
          <w:sz w:val="24"/>
          <w:szCs w:val="24"/>
        </w:rPr>
      </w:pPr>
      <w:r>
        <w:rPr>
          <w:rFonts w:ascii="Times New Roman" w:hAnsi="Times New Roman" w:cs="Times New Roman"/>
          <w:sz w:val="24"/>
          <w:szCs w:val="24"/>
        </w:rPr>
        <w:t>Quando a EPA analisa um n</w:t>
      </w:r>
      <w:r w:rsidR="00B1072F">
        <w:rPr>
          <w:rFonts w:ascii="Times New Roman" w:hAnsi="Times New Roman" w:cs="Times New Roman"/>
          <w:sz w:val="24"/>
          <w:szCs w:val="24"/>
        </w:rPr>
        <w:t>ovo pedido de retirada de proibi</w:t>
      </w:r>
      <w:r>
        <w:rPr>
          <w:rFonts w:ascii="Times New Roman" w:hAnsi="Times New Roman" w:cs="Times New Roman"/>
          <w:sz w:val="24"/>
          <w:szCs w:val="24"/>
        </w:rPr>
        <w:t xml:space="preserve">ção, ela realiza uma análise de impacto das emissões, que leva em consideração alguns critérios. É necessário fornecer dados que demonstrem efeitos imediatos e de longo prazo sobre as emissões de escapamento e evaporativas e compatibilidade com o material dos veículos e motores, além dos efeitos sobre a dirigibilidade e operabilidade destes. Além disso, todo requerimento para novo </w:t>
      </w:r>
      <w:r w:rsidRPr="000B3B46">
        <w:rPr>
          <w:rFonts w:ascii="Times New Roman" w:hAnsi="Times New Roman" w:cs="Times New Roman"/>
          <w:i/>
          <w:sz w:val="24"/>
          <w:szCs w:val="24"/>
        </w:rPr>
        <w:t>waiver</w:t>
      </w:r>
      <w:r>
        <w:rPr>
          <w:rFonts w:ascii="Times New Roman" w:hAnsi="Times New Roman" w:cs="Times New Roman"/>
          <w:sz w:val="24"/>
          <w:szCs w:val="24"/>
        </w:rPr>
        <w:t xml:space="preserve"> passou a estar sujeito a consulta pública, com a entrada em vigor do EISA. Somado ao fato de que a EPA tem 270 dias para emitir uma decisão após o recebimento da solicitação, Slating e Kesan defendem que esse processo acaba por desestimular os requerentes de um novo </w:t>
      </w:r>
      <w:r w:rsidRPr="00262065">
        <w:rPr>
          <w:rFonts w:ascii="Times New Roman" w:hAnsi="Times New Roman" w:cs="Times New Roman"/>
          <w:i/>
          <w:sz w:val="24"/>
          <w:szCs w:val="24"/>
        </w:rPr>
        <w:t>waiver</w:t>
      </w:r>
      <w:r>
        <w:rPr>
          <w:rFonts w:ascii="Times New Roman" w:hAnsi="Times New Roman" w:cs="Times New Roman"/>
          <w:sz w:val="24"/>
          <w:szCs w:val="24"/>
        </w:rPr>
        <w:t xml:space="preserve">. A incerteza com relação à possibilidade ou não de um novo produto ter autorização para comercialização reduz de forma significativa os incentivos à inovação nesse setor. </w:t>
      </w:r>
    </w:p>
    <w:p w:rsidR="00715F5B" w:rsidRDefault="00715F5B" w:rsidP="00715F5B">
      <w:pPr>
        <w:spacing w:line="360" w:lineRule="auto"/>
        <w:ind w:firstLine="708"/>
        <w:rPr>
          <w:rFonts w:ascii="Times New Roman" w:hAnsi="Times New Roman" w:cs="Times New Roman"/>
          <w:sz w:val="24"/>
          <w:szCs w:val="24"/>
        </w:rPr>
      </w:pPr>
      <w:r>
        <w:rPr>
          <w:rFonts w:ascii="Times New Roman" w:hAnsi="Times New Roman" w:cs="Times New Roman"/>
          <w:sz w:val="24"/>
          <w:szCs w:val="24"/>
        </w:rPr>
        <w:t>Desse modo, por meio de uma detalhada descrição do processo para autorização de combustíveis finais com maior percentual de biobut</w:t>
      </w:r>
      <w:r w:rsidR="00B1072F">
        <w:rPr>
          <w:rFonts w:ascii="Times New Roman" w:hAnsi="Times New Roman" w:cs="Times New Roman"/>
          <w:sz w:val="24"/>
          <w:szCs w:val="24"/>
        </w:rPr>
        <w:t>anol, Slating e Kesan argumentam</w:t>
      </w:r>
      <w:r>
        <w:rPr>
          <w:rFonts w:ascii="Times New Roman" w:hAnsi="Times New Roman" w:cs="Times New Roman"/>
          <w:sz w:val="24"/>
          <w:szCs w:val="24"/>
        </w:rPr>
        <w:t xml:space="preserve"> que a introdução de um novo biocombustível no mercado é um processo extremamente custoso que, ao criar obstáculos à inovação, pode tornar injustificável a regulação de combustíveis e aditivos nos Estados Unidos. </w:t>
      </w:r>
    </w:p>
    <w:p w:rsidR="00715F5B" w:rsidRDefault="00715F5B" w:rsidP="00715F5B">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O contraponto a este argumento reside justamente na necessidade de haver um órgão que zele pela qualidade dos novos produtos introduzidos no mercado. Com efeito, a existência </w:t>
      </w:r>
      <w:r>
        <w:rPr>
          <w:rFonts w:ascii="Times New Roman" w:hAnsi="Times New Roman" w:cs="Times New Roman"/>
          <w:sz w:val="24"/>
          <w:szCs w:val="24"/>
        </w:rPr>
        <w:lastRenderedPageBreak/>
        <w:t xml:space="preserve">de processos que exigem testes e que devem se sujeitar à opinião de um público externo durante determinado período pode atrasar alguns projetos de inovação, porém são a garantia de que novos biocombustíveis atendam às especificações de emissões e compatibilidade com motores existentes. Adicionalmente, o processo de formulação de regras no âmbito regulatório é tão mais transparente quanto maior a participação dos agentes por ela afetados. </w:t>
      </w:r>
    </w:p>
    <w:p w:rsidR="00715F5B" w:rsidRDefault="00715F5B" w:rsidP="00715F5B">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Nesse sentido, o fato de ser exigido um período de consulta pública para os pedidos de novos </w:t>
      </w:r>
      <w:r w:rsidRPr="00DF4DF2">
        <w:rPr>
          <w:rFonts w:ascii="Times New Roman" w:hAnsi="Times New Roman" w:cs="Times New Roman"/>
          <w:i/>
          <w:sz w:val="24"/>
          <w:szCs w:val="24"/>
        </w:rPr>
        <w:t>waivers</w:t>
      </w:r>
      <w:r>
        <w:rPr>
          <w:rFonts w:ascii="Times New Roman" w:hAnsi="Times New Roman" w:cs="Times New Roman"/>
          <w:sz w:val="24"/>
          <w:szCs w:val="24"/>
        </w:rPr>
        <w:t xml:space="preserve"> não deve simplesmente ser interpretado como um entrave à inovação, mas como um importante mecanismo que visa a atribuir maior transparência à atuação da agência reguladora. </w:t>
      </w:r>
    </w:p>
    <w:p w:rsidR="00715F5B" w:rsidRDefault="00715F5B" w:rsidP="00715F5B">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Além disso, o artigo de Slating e Kesan não enfatiza que os </w:t>
      </w:r>
      <w:r w:rsidRPr="00026033">
        <w:rPr>
          <w:rFonts w:ascii="Times New Roman" w:hAnsi="Times New Roman" w:cs="Times New Roman"/>
          <w:i/>
          <w:sz w:val="24"/>
          <w:szCs w:val="24"/>
        </w:rPr>
        <w:t>waivers</w:t>
      </w:r>
      <w:r>
        <w:rPr>
          <w:rFonts w:ascii="Times New Roman" w:hAnsi="Times New Roman" w:cs="Times New Roman"/>
          <w:sz w:val="24"/>
          <w:szCs w:val="24"/>
        </w:rPr>
        <w:t xml:space="preserve"> existentes dizem respeito ao butanol, e não ao biobutanol, apesar de este também ser elegível, considerando que ambos apresentam as mesmas propriedades físico-químicas. É importante que se considere que os mecanismos regulatórios que regem a comercialização de novos combustíveis, quando elaborados, não tinham por objetivo fomentar a produção de combustíveis renováveis. De fato, esta é uma alternativa para os que têm intenção de explorar mercados mais amplos para o biobutanol “convencional” (com potencial de redução de 30% nas emissões de GEE). Versões “mais eficientes” do biobutanol podem encontrar significativos incentivos no RFS2. A próxima seção mostra que o caminho para registro de novas rotas de produção de combustíveis renováveis pode ser diferente sob as regras do novo programa.</w:t>
      </w:r>
    </w:p>
    <w:p w:rsidR="00715F5B" w:rsidRDefault="00715F5B" w:rsidP="00715F5B">
      <w:pPr>
        <w:spacing w:line="360" w:lineRule="auto"/>
        <w:rPr>
          <w:rFonts w:ascii="Times New Roman" w:hAnsi="Times New Roman" w:cs="Times New Roman"/>
          <w:sz w:val="24"/>
          <w:szCs w:val="24"/>
        </w:rPr>
      </w:pPr>
    </w:p>
    <w:p w:rsidR="00715F5B" w:rsidRPr="00EF5A51" w:rsidRDefault="00715F5B" w:rsidP="00EF5A51">
      <w:pPr>
        <w:pStyle w:val="Ttulo3"/>
      </w:pPr>
      <w:bookmarkStart w:id="116" w:name="_Toc330506381"/>
      <w:bookmarkStart w:id="117" w:name="_Toc333911368"/>
      <w:r w:rsidRPr="00EF5A51">
        <w:t>3.1.4 Aprovação de novas rotas de produção</w:t>
      </w:r>
      <w:bookmarkEnd w:id="116"/>
      <w:r w:rsidRPr="00EF5A51">
        <w:t xml:space="preserve"> sob o RFS2</w:t>
      </w:r>
      <w:bookmarkEnd w:id="117"/>
    </w:p>
    <w:p w:rsidR="00715F5B" w:rsidRDefault="00715F5B" w:rsidP="00715F5B">
      <w:pPr>
        <w:spacing w:line="360" w:lineRule="auto"/>
        <w:rPr>
          <w:rFonts w:ascii="Times New Roman" w:hAnsi="Times New Roman" w:cs="Times New Roman"/>
          <w:sz w:val="24"/>
          <w:szCs w:val="24"/>
        </w:rPr>
      </w:pPr>
    </w:p>
    <w:p w:rsidR="00715F5B" w:rsidRDefault="00715F5B" w:rsidP="00715F5B">
      <w:pPr>
        <w:spacing w:line="360" w:lineRule="auto"/>
        <w:ind w:firstLine="708"/>
        <w:rPr>
          <w:rFonts w:ascii="Times New Roman" w:hAnsi="Times New Roman" w:cs="Times New Roman"/>
          <w:sz w:val="24"/>
          <w:szCs w:val="24"/>
        </w:rPr>
      </w:pPr>
      <w:r>
        <w:rPr>
          <w:rFonts w:ascii="Times New Roman" w:hAnsi="Times New Roman" w:cs="Times New Roman"/>
          <w:sz w:val="24"/>
          <w:szCs w:val="24"/>
        </w:rPr>
        <w:t>Sob o RFS2, combustíveis renováveis encontram uma alternativa mais apropriada de requerer o registro de uma nova rota de produção, uma vez que ele busca ser efetivamente um programa de incentivo aos biocombustíveis, reconhecendo que nem todas as rotas potenciais foram inicialmente mapeadas e classificadas conforme seu potencial de redução de emissões de GEE. Ao receber o requerimento para registro da nova rota de produção, antes de seguir com a avaliação das emissões de GEE durante todo o ciclo de vida do combustível, a EPA se certifica que as matérias-primas e o combustível renovável atendem aos requisitos do programa, verifica se a rota de produção se adapta a algum processo produtivo já aprovado, e, caso negativo, procede com uma avaliação de emissões de GEE para determinar a qual categoria o combustível é elegível.</w:t>
      </w:r>
    </w:p>
    <w:p w:rsidR="00715F5B" w:rsidRDefault="00715F5B" w:rsidP="00715F5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Se a rota é significativamente diferente das rotas já aprovadas, então uma completa avaliação das emissões durante todo ciclo de vida é necessária. Normalmente, esse é o caso quando a rota inclui novas matérias-primas, o que requer modelagem para a produção agrícola e processamento da matéria-prima, e o processo de aprovação fica sujeito a consulta pública e comentários de terceiros. Quando a solicitação não requer uma nova modelagem, pois já existem rotas aprovadas que utilizam a mesma matéria-prima, a EPA pode emitir uma decisão sem necessidade </w:t>
      </w:r>
      <w:r w:rsidR="007466A8">
        <w:rPr>
          <w:rFonts w:ascii="Times New Roman" w:hAnsi="Times New Roman" w:cs="Times New Roman"/>
          <w:sz w:val="24"/>
          <w:szCs w:val="24"/>
        </w:rPr>
        <w:t>de se realizar consulta pública</w:t>
      </w:r>
      <w:r>
        <w:rPr>
          <w:rFonts w:ascii="Times New Roman" w:hAnsi="Times New Roman" w:cs="Times New Roman"/>
          <w:sz w:val="24"/>
          <w:szCs w:val="24"/>
        </w:rPr>
        <w:t xml:space="preserve"> (EPA, 2012).</w:t>
      </w:r>
    </w:p>
    <w:p w:rsidR="00715F5B" w:rsidRDefault="00715F5B" w:rsidP="00715F5B">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O texto final do RFS2 afirma que “as avaliações das emissões de GEE durante todo o ciclo de vida refletidas no documento representam significativos avanços das análises baseadas em informações e dados recebidos desde sua proposta”, porém reconhece que se trata de uma disciplina em evolução e deve continuar sendo revista nas análises futuras da EPA, à medida que novas informações se tornem disponíveis </w:t>
      </w:r>
      <w:r w:rsidRPr="005E448A">
        <w:rPr>
          <w:rFonts w:ascii="Times New Roman" w:hAnsi="Times New Roman" w:cs="Times New Roman"/>
          <w:sz w:val="24"/>
          <w:szCs w:val="24"/>
        </w:rPr>
        <w:t>(EPA, 2010</w:t>
      </w:r>
      <w:r>
        <w:rPr>
          <w:rFonts w:ascii="Times New Roman" w:hAnsi="Times New Roman" w:cs="Times New Roman"/>
          <w:sz w:val="24"/>
          <w:szCs w:val="24"/>
        </w:rPr>
        <w:t>a, p. 14765</w:t>
      </w:r>
      <w:r w:rsidRPr="005E448A">
        <w:rPr>
          <w:rFonts w:ascii="Times New Roman" w:hAnsi="Times New Roman" w:cs="Times New Roman"/>
          <w:sz w:val="24"/>
          <w:szCs w:val="24"/>
        </w:rPr>
        <w:t>).</w:t>
      </w:r>
      <w:r>
        <w:rPr>
          <w:rFonts w:ascii="Times New Roman" w:hAnsi="Times New Roman" w:cs="Times New Roman"/>
          <w:sz w:val="24"/>
          <w:szCs w:val="24"/>
        </w:rPr>
        <w:t xml:space="preserve"> Nesse sentido, a agência enfatiza a existência do mecanismo de petição para avaliação de novas rotas, colocado à disposição dos agentes interessados para certificação das mesmas quanto às categorias do programa. A EPA esclarece que, ao receber petições para incluir novas rotas de produção no programa, prioriza os casos que demonstram maior viabilidade comercial. </w:t>
      </w:r>
    </w:p>
    <w:p w:rsidR="00715F5B" w:rsidRDefault="00715F5B" w:rsidP="00715F5B">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As deliberações mais recentes da agência também demonstram que existe cuidado em adaptar as normas e regras que regulam a produção de combustíveis renováveis nos Estados Unidos. Um ano após a entrada em vigor do RFS2, a </w:t>
      </w:r>
      <w:r w:rsidRPr="005B5551">
        <w:rPr>
          <w:rFonts w:ascii="Times New Roman" w:hAnsi="Times New Roman" w:cs="Times New Roman"/>
          <w:sz w:val="24"/>
          <w:szCs w:val="24"/>
        </w:rPr>
        <w:t>EPA divulgou do</w:t>
      </w:r>
      <w:r>
        <w:rPr>
          <w:rFonts w:ascii="Times New Roman" w:hAnsi="Times New Roman" w:cs="Times New Roman"/>
          <w:sz w:val="24"/>
          <w:szCs w:val="24"/>
        </w:rPr>
        <w:t>cumentos que atualizam as regras do RFS2, por exemplo, incluindo rotas adicionais e esclarecendo que a definição de diesel renovável inclui combustível para aviação. A EPA acredita que, ao qualificar essas novas rotas, o programa oferece mais oportunidades para o aumento da produção de combustíveis renováveis avançados, além de oferecer maior confiabilidade e oportunidade de mercado para os produtores de diesel renovável (EPA, 2011).</w:t>
      </w:r>
    </w:p>
    <w:p w:rsidR="00715F5B" w:rsidRDefault="00715F5B" w:rsidP="00715F5B">
      <w:pPr>
        <w:spacing w:line="360" w:lineRule="auto"/>
        <w:ind w:firstLine="708"/>
        <w:rPr>
          <w:rFonts w:ascii="Times New Roman" w:hAnsi="Times New Roman" w:cs="Times New Roman"/>
          <w:sz w:val="24"/>
          <w:szCs w:val="24"/>
        </w:rPr>
      </w:pPr>
      <w:r>
        <w:rPr>
          <w:rFonts w:ascii="Times New Roman" w:hAnsi="Times New Roman" w:cs="Times New Roman"/>
          <w:sz w:val="24"/>
          <w:szCs w:val="24"/>
        </w:rPr>
        <w:t>Contudo, como já mencionado, sob a classificação do RFS2, o biobutanol encontra obstáculos técnicos para comprovar seu potencial de redução de emissões de GEE, que não é tão alto quando a matéria-prima utilizada é o milho. Seu sucesso comercial, portanto, encontra-se atrelado à viabilidade das tecnologias capazes de transformar materiais lignocelulósicos em açúcares, quando ele poderá se beneficiar de reservas de mercado para combustíveis renováveis mais eficientes.</w:t>
      </w:r>
    </w:p>
    <w:p w:rsidR="00EF5A51" w:rsidRDefault="00EF5A51" w:rsidP="00715F5B">
      <w:pPr>
        <w:spacing w:line="360" w:lineRule="auto"/>
        <w:ind w:firstLine="708"/>
        <w:rPr>
          <w:rFonts w:ascii="Times New Roman" w:hAnsi="Times New Roman" w:cs="Times New Roman"/>
          <w:sz w:val="24"/>
          <w:szCs w:val="24"/>
        </w:rPr>
      </w:pPr>
    </w:p>
    <w:p w:rsidR="00EF5A51" w:rsidRDefault="00EF5A51" w:rsidP="00715F5B">
      <w:pPr>
        <w:spacing w:line="360" w:lineRule="auto"/>
        <w:ind w:firstLine="708"/>
        <w:rPr>
          <w:rFonts w:ascii="Times New Roman" w:hAnsi="Times New Roman" w:cs="Times New Roman"/>
          <w:sz w:val="24"/>
          <w:szCs w:val="24"/>
        </w:rPr>
      </w:pPr>
    </w:p>
    <w:p w:rsidR="00EF5A51" w:rsidRDefault="00EF5A51" w:rsidP="00715F5B">
      <w:pPr>
        <w:spacing w:line="360" w:lineRule="auto"/>
        <w:ind w:firstLine="708"/>
        <w:rPr>
          <w:rFonts w:ascii="Times New Roman" w:hAnsi="Times New Roman" w:cs="Times New Roman"/>
          <w:sz w:val="24"/>
          <w:szCs w:val="24"/>
        </w:rPr>
      </w:pPr>
    </w:p>
    <w:p w:rsidR="00EF5A51" w:rsidRDefault="00EF5A51" w:rsidP="00715F5B">
      <w:pPr>
        <w:spacing w:line="360" w:lineRule="auto"/>
        <w:ind w:firstLine="708"/>
        <w:rPr>
          <w:rFonts w:ascii="Times New Roman" w:hAnsi="Times New Roman" w:cs="Times New Roman"/>
          <w:sz w:val="24"/>
          <w:szCs w:val="24"/>
        </w:rPr>
      </w:pPr>
    </w:p>
    <w:p w:rsidR="00715F5B" w:rsidRDefault="00EE56DA" w:rsidP="00715F5B">
      <w:pPr>
        <w:spacing w:line="360" w:lineRule="auto"/>
        <w:ind w:firstLine="708"/>
        <w:rPr>
          <w:rFonts w:ascii="Times New Roman" w:hAnsi="Times New Roman" w:cs="Times New Roman"/>
          <w:sz w:val="24"/>
          <w:szCs w:val="24"/>
        </w:rPr>
      </w:pPr>
      <w:r>
        <w:rPr>
          <w:rFonts w:ascii="Times New Roman" w:hAnsi="Times New Roman" w:cs="Times New Roman"/>
          <w:noProof/>
          <w:sz w:val="24"/>
          <w:szCs w:val="24"/>
          <w:lang w:eastAsia="pt-BR"/>
        </w:rPr>
        <w:lastRenderedPageBreak/>
        <w:pict>
          <v:shape id="_x0000_s1040" type="#_x0000_t202" style="position:absolute;left:0;text-align:left;margin-left:-22.8pt;margin-top:-14.1pt;width:464.9pt;height:725.35pt;z-index:251667456;mso-width-relative:margin;mso-height-relative:margin">
            <v:textbox style="mso-next-textbox:#_x0000_s1040">
              <w:txbxContent>
                <w:p w:rsidR="00A57446" w:rsidRDefault="00A57446" w:rsidP="00715F5B">
                  <w:pPr>
                    <w:spacing w:line="360" w:lineRule="auto"/>
                    <w:ind w:firstLine="708"/>
                    <w:rPr>
                      <w:rFonts w:ascii="Times New Roman" w:hAnsi="Times New Roman" w:cs="Times New Roman"/>
                      <w:b/>
                      <w:sz w:val="24"/>
                      <w:szCs w:val="24"/>
                    </w:rPr>
                  </w:pPr>
                  <w:r w:rsidRPr="00D1739C">
                    <w:rPr>
                      <w:rFonts w:ascii="Times New Roman" w:hAnsi="Times New Roman" w:cs="Times New Roman"/>
                      <w:b/>
                      <w:sz w:val="24"/>
                      <w:szCs w:val="24"/>
                    </w:rPr>
                    <w:t>Quadro 3. A influência dos grupos de interesse sobre as decisões da EP</w:t>
                  </w:r>
                  <w:r>
                    <w:rPr>
                      <w:rFonts w:ascii="Times New Roman" w:hAnsi="Times New Roman" w:cs="Times New Roman"/>
                      <w:b/>
                      <w:sz w:val="24"/>
                      <w:szCs w:val="24"/>
                    </w:rPr>
                    <w:t>A</w:t>
                  </w:r>
                </w:p>
                <w:p w:rsidR="00A57446" w:rsidRDefault="00A57446" w:rsidP="00715F5B">
                  <w:pPr>
                    <w:spacing w:line="360" w:lineRule="auto"/>
                    <w:ind w:firstLine="708"/>
                    <w:rPr>
                      <w:rFonts w:ascii="Times New Roman" w:hAnsi="Times New Roman" w:cs="Times New Roman"/>
                      <w:b/>
                      <w:sz w:val="24"/>
                      <w:szCs w:val="24"/>
                    </w:rPr>
                  </w:pPr>
                </w:p>
                <w:p w:rsidR="00A57446" w:rsidRDefault="00A57446" w:rsidP="00EF5A51">
                  <w:pPr>
                    <w:spacing w:line="360" w:lineRule="auto"/>
                    <w:ind w:firstLine="708"/>
                    <w:rPr>
                      <w:rFonts w:ascii="Times New Roman" w:hAnsi="Times New Roman" w:cs="Times New Roman"/>
                      <w:sz w:val="24"/>
                      <w:szCs w:val="24"/>
                    </w:rPr>
                  </w:pPr>
                  <w:r w:rsidRPr="006E0DFD">
                    <w:rPr>
                      <w:rFonts w:ascii="Times New Roman" w:hAnsi="Times New Roman" w:cs="Times New Roman"/>
                      <w:sz w:val="24"/>
                      <w:szCs w:val="24"/>
                    </w:rPr>
                    <w:t>O caso norte-americano é tamb</w:t>
                  </w:r>
                  <w:r>
                    <w:rPr>
                      <w:rFonts w:ascii="Times New Roman" w:hAnsi="Times New Roman" w:cs="Times New Roman"/>
                      <w:sz w:val="24"/>
                      <w:szCs w:val="24"/>
                    </w:rPr>
                    <w:t xml:space="preserve">ém muito emblemático no que se refere à influência dos </w:t>
                  </w:r>
                  <w:r w:rsidRPr="00126360">
                    <w:rPr>
                      <w:rFonts w:ascii="Times New Roman" w:hAnsi="Times New Roman" w:cs="Times New Roman"/>
                      <w:i/>
                      <w:sz w:val="24"/>
                      <w:szCs w:val="24"/>
                    </w:rPr>
                    <w:t>lobbies</w:t>
                  </w:r>
                  <w:r>
                    <w:rPr>
                      <w:rFonts w:ascii="Times New Roman" w:hAnsi="Times New Roman" w:cs="Times New Roman"/>
                      <w:sz w:val="24"/>
                      <w:szCs w:val="24"/>
                    </w:rPr>
                    <w:t xml:space="preserve"> sobre a regulação. A concessão do </w:t>
                  </w:r>
                  <w:r w:rsidRPr="006E0DFD">
                    <w:rPr>
                      <w:rFonts w:ascii="Times New Roman" w:hAnsi="Times New Roman" w:cs="Times New Roman"/>
                      <w:i/>
                      <w:sz w:val="24"/>
                      <w:szCs w:val="24"/>
                    </w:rPr>
                    <w:t>waiver</w:t>
                  </w:r>
                  <w:r>
                    <w:rPr>
                      <w:rFonts w:ascii="Times New Roman" w:hAnsi="Times New Roman" w:cs="Times New Roman"/>
                      <w:sz w:val="24"/>
                      <w:szCs w:val="24"/>
                    </w:rPr>
                    <w:t xml:space="preserve"> parcial para comercialização do E15, a ser utilizado apenas por uma parte da frota americana, foi resultado de forte atuação de grupos de interesse como o </w:t>
                  </w:r>
                  <w:r w:rsidRPr="00F23A57">
                    <w:rPr>
                      <w:rFonts w:ascii="Times New Roman" w:hAnsi="Times New Roman" w:cs="Times New Roman"/>
                      <w:i/>
                      <w:sz w:val="24"/>
                      <w:szCs w:val="24"/>
                    </w:rPr>
                    <w:t>Growth Energy</w:t>
                  </w:r>
                  <w:r>
                    <w:rPr>
                      <w:rFonts w:ascii="Times New Roman" w:hAnsi="Times New Roman" w:cs="Times New Roman"/>
                      <w:sz w:val="24"/>
                      <w:szCs w:val="24"/>
                    </w:rPr>
                    <w:t>, uma associação de produtores e outros agentes que advogam a favor do etanol nos Estados Unidos. Diversos estudos foram realizados a fim de demonstrar resultados que permitissem a retirada da proibição, mas:</w:t>
                  </w:r>
                </w:p>
                <w:p w:rsidR="00A57446" w:rsidRDefault="00A57446" w:rsidP="00EF5A51">
                  <w:pPr>
                    <w:ind w:firstLine="709"/>
                    <w:rPr>
                      <w:rFonts w:ascii="Times New Roman" w:hAnsi="Times New Roman" w:cs="Times New Roman"/>
                      <w:sz w:val="24"/>
                      <w:szCs w:val="24"/>
                    </w:rPr>
                  </w:pPr>
                </w:p>
                <w:p w:rsidR="00A57446" w:rsidRDefault="00A57446" w:rsidP="00EF5A51">
                  <w:pPr>
                    <w:ind w:left="1418"/>
                    <w:rPr>
                      <w:rFonts w:ascii="Times New Roman" w:hAnsi="Times New Roman" w:cs="Times New Roman"/>
                    </w:rPr>
                  </w:pPr>
                  <w:r w:rsidRPr="00D1739C">
                    <w:rPr>
                      <w:rFonts w:ascii="Times New Roman" w:hAnsi="Times New Roman" w:cs="Times New Roman"/>
                      <w:lang w:val="en-US"/>
                    </w:rPr>
                    <w:t>[</w:t>
                  </w:r>
                  <w:r>
                    <w:rPr>
                      <w:rFonts w:ascii="Times New Roman" w:hAnsi="Times New Roman" w:cs="Times New Roman"/>
                      <w:lang w:val="en-US"/>
                    </w:rPr>
                    <w:t xml:space="preserve">…] </w:t>
                  </w:r>
                  <w:r w:rsidRPr="00971225">
                    <w:rPr>
                      <w:rFonts w:ascii="Times New Roman" w:hAnsi="Times New Roman" w:cs="Times New Roman"/>
                      <w:lang w:val="en-US"/>
                    </w:rPr>
                    <w:t xml:space="preserve">the EPA refused to rely on the twelve “recent comprehensive independent third-party studies by both governmental and private groups” supplied by the applicants, and instead relied primarily on a catalyst study carried out by the U.S. Department of Energy (DOE). </w:t>
                  </w:r>
                  <w:r w:rsidRPr="00BA1184">
                    <w:rPr>
                      <w:rFonts w:ascii="Times New Roman" w:hAnsi="Times New Roman" w:cs="Times New Roman"/>
                    </w:rPr>
                    <w:t>(SLATING; KESAN, 2011, p. 51)</w:t>
                  </w:r>
                </w:p>
                <w:p w:rsidR="00A57446" w:rsidRPr="00EF5A51" w:rsidRDefault="00A57446" w:rsidP="00EF5A51">
                  <w:pPr>
                    <w:ind w:left="1418"/>
                    <w:rPr>
                      <w:rFonts w:ascii="Times New Roman" w:hAnsi="Times New Roman" w:cs="Times New Roman"/>
                    </w:rPr>
                  </w:pPr>
                </w:p>
                <w:p w:rsidR="00A57446" w:rsidRDefault="00A57446" w:rsidP="00715F5B">
                  <w:pPr>
                    <w:spacing w:line="360" w:lineRule="auto"/>
                    <w:ind w:firstLine="708"/>
                    <w:rPr>
                      <w:rFonts w:ascii="Times New Roman" w:hAnsi="Times New Roman" w:cs="Times New Roman"/>
                      <w:sz w:val="24"/>
                      <w:szCs w:val="24"/>
                    </w:rPr>
                  </w:pPr>
                  <w:r>
                    <w:rPr>
                      <w:rFonts w:ascii="Times New Roman" w:hAnsi="Times New Roman" w:cs="Times New Roman"/>
                      <w:sz w:val="24"/>
                      <w:szCs w:val="24"/>
                    </w:rPr>
                    <w:t>Segundo a EPA, a solicitação foi acompanhada de dados sobre emissões, materiais do sistema de combustíveis e condições de direção no veículo. Ademais, desde 2008, o DOE contribuiu com a realização de testes em motores de veículos leves, avaliando os impactos de diversas misturas de etanol-gasolina sobre seus sistemas de controles de emissões (EPA, 2012). O fato de a decisão ter se baseado principalmente em estudos realizados pelo DOE por um lado pode significar uma tentativa de se isolar de interesses privados, porém atribui uma importância exagerada a estudos liderados por órgãos públicos quando comparados a estudos elaborados por grupos privados.</w:t>
                  </w:r>
                </w:p>
                <w:p w:rsidR="00A57446" w:rsidRDefault="00A57446" w:rsidP="00EF5A51">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Mesmo assim, o </w:t>
                  </w:r>
                  <w:r w:rsidRPr="00215DA7">
                    <w:rPr>
                      <w:rFonts w:ascii="Times New Roman" w:hAnsi="Times New Roman" w:cs="Times New Roman"/>
                      <w:i/>
                      <w:sz w:val="24"/>
                      <w:szCs w:val="24"/>
                    </w:rPr>
                    <w:t>waiver</w:t>
                  </w:r>
                  <w:r>
                    <w:rPr>
                      <w:rFonts w:ascii="Times New Roman" w:hAnsi="Times New Roman" w:cs="Times New Roman"/>
                      <w:sz w:val="24"/>
                      <w:szCs w:val="24"/>
                    </w:rPr>
                    <w:t xml:space="preserve"> é contestado pelo Instituto Americano do Petróleo, que alega que a EPA não possui autoridade legal para retirar a proibição, além de não existirem “testes completos para garantir segurança, desempenho e impactos ambientais do novo combustível para os consumidores finais” (OPIS, 2011, p. 24).</w:t>
                  </w:r>
                </w:p>
                <w:p w:rsidR="00A57446" w:rsidRDefault="00A57446" w:rsidP="00EF5A51">
                  <w:pPr>
                    <w:spacing w:line="360" w:lineRule="auto"/>
                    <w:ind w:firstLine="708"/>
                    <w:rPr>
                      <w:rFonts w:ascii="Times New Roman" w:hAnsi="Times New Roman" w:cs="Times New Roman"/>
                      <w:sz w:val="24"/>
                      <w:szCs w:val="24"/>
                    </w:rPr>
                  </w:pPr>
                  <w:r>
                    <w:rPr>
                      <w:rFonts w:ascii="Times New Roman" w:hAnsi="Times New Roman" w:cs="Times New Roman"/>
                      <w:sz w:val="24"/>
                      <w:szCs w:val="24"/>
                    </w:rPr>
                    <w:t>Essa situação demonstra o dilema a ser enfrentado pelo regulador quanto às mudanças necessárias para a promoção de novas tecnologias. Por um lado, o órgão busca o diálogo com setores da sociedade interessados no desenvolvimento tecnológico (produtores, distribuidores, pesquisadores, consumidores finais), e por outro, cria mecanismos cujo objetivo é isolá-lo de possíveis influências de grupos de interesse. Essa situação nos remete ao conceito de autonomia inserida (</w:t>
                  </w:r>
                  <w:r w:rsidRPr="00C027D2">
                    <w:rPr>
                      <w:rFonts w:ascii="Times New Roman" w:hAnsi="Times New Roman" w:cs="Times New Roman"/>
                      <w:i/>
                      <w:sz w:val="24"/>
                      <w:szCs w:val="24"/>
                    </w:rPr>
                    <w:t>embedded autonomy</w:t>
                  </w:r>
                  <w:r>
                    <w:rPr>
                      <w:rFonts w:ascii="Times New Roman" w:hAnsi="Times New Roman" w:cs="Times New Roman"/>
                      <w:sz w:val="24"/>
                      <w:szCs w:val="24"/>
                    </w:rPr>
                    <w:t xml:space="preserve">), de Peter Evans. O fato de o regulador ter autonomia para atuar nos mercados de combustíveis, aplicando as regras necessárias para garantir que não sofra ameaça de captura pelos interesses privados, não significa que ele deve estar completamente isolado dos agentes responsáveis pela dinâmica tecnológica e industrial. Pelo contrário, essa comunicação entre as partes é necessária para que potenciais benefícios sociais não sejam preteridos. </w:t>
                  </w:r>
                </w:p>
                <w:p w:rsidR="00A57446" w:rsidRPr="00D1739C" w:rsidRDefault="00A57446" w:rsidP="00715F5B"/>
              </w:txbxContent>
            </v:textbox>
          </v:shape>
        </w:pict>
      </w:r>
    </w:p>
    <w:p w:rsidR="00715F5B" w:rsidRDefault="00715F5B" w:rsidP="00715F5B">
      <w:pPr>
        <w:spacing w:line="360" w:lineRule="auto"/>
        <w:ind w:firstLine="708"/>
        <w:rPr>
          <w:rFonts w:ascii="Times New Roman" w:hAnsi="Times New Roman" w:cs="Times New Roman"/>
          <w:sz w:val="24"/>
          <w:szCs w:val="24"/>
        </w:rPr>
      </w:pPr>
    </w:p>
    <w:p w:rsidR="00715F5B" w:rsidRDefault="00715F5B" w:rsidP="00715F5B">
      <w:pPr>
        <w:spacing w:line="360" w:lineRule="auto"/>
        <w:ind w:firstLine="708"/>
        <w:rPr>
          <w:rFonts w:ascii="Times New Roman" w:hAnsi="Times New Roman" w:cs="Times New Roman"/>
          <w:sz w:val="24"/>
          <w:szCs w:val="24"/>
        </w:rPr>
      </w:pPr>
    </w:p>
    <w:p w:rsidR="00715F5B" w:rsidRDefault="00715F5B" w:rsidP="00715F5B">
      <w:pPr>
        <w:spacing w:line="360" w:lineRule="auto"/>
        <w:ind w:firstLine="708"/>
        <w:rPr>
          <w:rFonts w:ascii="Times New Roman" w:hAnsi="Times New Roman" w:cs="Times New Roman"/>
          <w:sz w:val="24"/>
          <w:szCs w:val="24"/>
        </w:rPr>
      </w:pPr>
    </w:p>
    <w:p w:rsidR="00715F5B" w:rsidRDefault="00715F5B" w:rsidP="00715F5B">
      <w:pPr>
        <w:spacing w:line="360" w:lineRule="auto"/>
        <w:ind w:firstLine="708"/>
        <w:rPr>
          <w:rFonts w:ascii="Times New Roman" w:hAnsi="Times New Roman" w:cs="Times New Roman"/>
          <w:sz w:val="24"/>
          <w:szCs w:val="24"/>
        </w:rPr>
      </w:pPr>
    </w:p>
    <w:p w:rsidR="00715F5B" w:rsidRDefault="00715F5B" w:rsidP="00715F5B">
      <w:pPr>
        <w:spacing w:line="360" w:lineRule="auto"/>
        <w:ind w:firstLine="708"/>
        <w:rPr>
          <w:rFonts w:ascii="Times New Roman" w:hAnsi="Times New Roman" w:cs="Times New Roman"/>
          <w:sz w:val="24"/>
          <w:szCs w:val="24"/>
        </w:rPr>
      </w:pPr>
    </w:p>
    <w:p w:rsidR="00715F5B" w:rsidRDefault="00715F5B" w:rsidP="00715F5B">
      <w:pPr>
        <w:spacing w:line="360" w:lineRule="auto"/>
        <w:ind w:firstLine="708"/>
        <w:rPr>
          <w:rFonts w:ascii="Times New Roman" w:hAnsi="Times New Roman" w:cs="Times New Roman"/>
          <w:sz w:val="24"/>
          <w:szCs w:val="24"/>
        </w:rPr>
      </w:pPr>
    </w:p>
    <w:p w:rsidR="00715F5B" w:rsidRDefault="00715F5B" w:rsidP="00715F5B">
      <w:pPr>
        <w:spacing w:line="360" w:lineRule="auto"/>
        <w:ind w:firstLine="708"/>
        <w:rPr>
          <w:rFonts w:ascii="Times New Roman" w:hAnsi="Times New Roman" w:cs="Times New Roman"/>
          <w:sz w:val="24"/>
          <w:szCs w:val="24"/>
        </w:rPr>
      </w:pPr>
    </w:p>
    <w:p w:rsidR="00715F5B" w:rsidRDefault="00715F5B" w:rsidP="00715F5B">
      <w:pPr>
        <w:spacing w:line="360" w:lineRule="auto"/>
        <w:ind w:firstLine="708"/>
        <w:rPr>
          <w:rFonts w:ascii="Times New Roman" w:hAnsi="Times New Roman" w:cs="Times New Roman"/>
          <w:sz w:val="24"/>
          <w:szCs w:val="24"/>
        </w:rPr>
      </w:pPr>
    </w:p>
    <w:p w:rsidR="00EF5A51" w:rsidRDefault="00EF5A51" w:rsidP="00715F5B">
      <w:pPr>
        <w:spacing w:line="360" w:lineRule="auto"/>
        <w:ind w:firstLine="708"/>
        <w:rPr>
          <w:rFonts w:ascii="Times New Roman" w:hAnsi="Times New Roman" w:cs="Times New Roman"/>
          <w:sz w:val="24"/>
          <w:szCs w:val="24"/>
        </w:rPr>
      </w:pPr>
    </w:p>
    <w:p w:rsidR="00EF5A51" w:rsidRDefault="00EF5A51" w:rsidP="00715F5B">
      <w:pPr>
        <w:spacing w:line="360" w:lineRule="auto"/>
        <w:ind w:firstLine="708"/>
        <w:rPr>
          <w:rFonts w:ascii="Times New Roman" w:hAnsi="Times New Roman" w:cs="Times New Roman"/>
          <w:sz w:val="24"/>
          <w:szCs w:val="24"/>
        </w:rPr>
      </w:pPr>
    </w:p>
    <w:p w:rsidR="00EF5A51" w:rsidRDefault="00EF5A51" w:rsidP="00715F5B">
      <w:pPr>
        <w:spacing w:line="360" w:lineRule="auto"/>
        <w:ind w:firstLine="708"/>
        <w:rPr>
          <w:rFonts w:ascii="Times New Roman" w:hAnsi="Times New Roman" w:cs="Times New Roman"/>
          <w:sz w:val="24"/>
          <w:szCs w:val="24"/>
        </w:rPr>
      </w:pPr>
    </w:p>
    <w:p w:rsidR="00EF5A51" w:rsidRDefault="00EF5A51" w:rsidP="00715F5B">
      <w:pPr>
        <w:spacing w:line="360" w:lineRule="auto"/>
        <w:ind w:firstLine="708"/>
        <w:rPr>
          <w:rFonts w:ascii="Times New Roman" w:hAnsi="Times New Roman" w:cs="Times New Roman"/>
          <w:sz w:val="24"/>
          <w:szCs w:val="24"/>
        </w:rPr>
      </w:pPr>
    </w:p>
    <w:p w:rsidR="00EF5A51" w:rsidRDefault="00EF5A51" w:rsidP="00715F5B">
      <w:pPr>
        <w:spacing w:line="360" w:lineRule="auto"/>
        <w:ind w:firstLine="708"/>
        <w:rPr>
          <w:rFonts w:ascii="Times New Roman" w:hAnsi="Times New Roman" w:cs="Times New Roman"/>
          <w:sz w:val="24"/>
          <w:szCs w:val="24"/>
        </w:rPr>
      </w:pPr>
    </w:p>
    <w:p w:rsidR="00EF5A51" w:rsidRDefault="00EF5A51" w:rsidP="00715F5B">
      <w:pPr>
        <w:spacing w:line="360" w:lineRule="auto"/>
        <w:ind w:firstLine="708"/>
        <w:rPr>
          <w:rFonts w:ascii="Times New Roman" w:hAnsi="Times New Roman" w:cs="Times New Roman"/>
          <w:sz w:val="24"/>
          <w:szCs w:val="24"/>
        </w:rPr>
      </w:pPr>
    </w:p>
    <w:p w:rsidR="00EF5A51" w:rsidRDefault="00EF5A51" w:rsidP="00715F5B">
      <w:pPr>
        <w:spacing w:line="360" w:lineRule="auto"/>
        <w:ind w:firstLine="708"/>
        <w:rPr>
          <w:rFonts w:ascii="Times New Roman" w:hAnsi="Times New Roman" w:cs="Times New Roman"/>
          <w:sz w:val="24"/>
          <w:szCs w:val="24"/>
        </w:rPr>
      </w:pPr>
    </w:p>
    <w:p w:rsidR="00EF5A51" w:rsidRDefault="00EF5A51" w:rsidP="00715F5B">
      <w:pPr>
        <w:spacing w:line="360" w:lineRule="auto"/>
        <w:ind w:firstLine="708"/>
        <w:rPr>
          <w:rFonts w:ascii="Times New Roman" w:hAnsi="Times New Roman" w:cs="Times New Roman"/>
          <w:sz w:val="24"/>
          <w:szCs w:val="24"/>
        </w:rPr>
      </w:pPr>
    </w:p>
    <w:p w:rsidR="00EF5A51" w:rsidRDefault="00EF5A51" w:rsidP="00715F5B">
      <w:pPr>
        <w:spacing w:line="360" w:lineRule="auto"/>
        <w:ind w:firstLine="708"/>
        <w:rPr>
          <w:rFonts w:ascii="Times New Roman" w:hAnsi="Times New Roman" w:cs="Times New Roman"/>
          <w:sz w:val="24"/>
          <w:szCs w:val="24"/>
        </w:rPr>
      </w:pPr>
    </w:p>
    <w:p w:rsidR="00EF5A51" w:rsidRDefault="00EF5A51" w:rsidP="00715F5B">
      <w:pPr>
        <w:spacing w:line="360" w:lineRule="auto"/>
        <w:ind w:firstLine="708"/>
        <w:rPr>
          <w:rFonts w:ascii="Times New Roman" w:hAnsi="Times New Roman" w:cs="Times New Roman"/>
          <w:sz w:val="24"/>
          <w:szCs w:val="24"/>
        </w:rPr>
      </w:pPr>
    </w:p>
    <w:p w:rsidR="00EF5A51" w:rsidRDefault="00EF5A51" w:rsidP="00715F5B">
      <w:pPr>
        <w:spacing w:line="360" w:lineRule="auto"/>
        <w:ind w:firstLine="708"/>
        <w:rPr>
          <w:rFonts w:ascii="Times New Roman" w:hAnsi="Times New Roman" w:cs="Times New Roman"/>
          <w:sz w:val="24"/>
          <w:szCs w:val="24"/>
        </w:rPr>
      </w:pPr>
    </w:p>
    <w:p w:rsidR="00EF5A51" w:rsidRDefault="00EF5A51" w:rsidP="00715F5B">
      <w:pPr>
        <w:spacing w:line="360" w:lineRule="auto"/>
        <w:ind w:firstLine="708"/>
        <w:rPr>
          <w:rFonts w:ascii="Times New Roman" w:hAnsi="Times New Roman" w:cs="Times New Roman"/>
          <w:sz w:val="24"/>
          <w:szCs w:val="24"/>
        </w:rPr>
      </w:pPr>
    </w:p>
    <w:p w:rsidR="00EF5A51" w:rsidRDefault="00EF5A51" w:rsidP="00715F5B">
      <w:pPr>
        <w:spacing w:line="360" w:lineRule="auto"/>
        <w:ind w:firstLine="708"/>
        <w:rPr>
          <w:rFonts w:ascii="Times New Roman" w:hAnsi="Times New Roman" w:cs="Times New Roman"/>
          <w:sz w:val="24"/>
          <w:szCs w:val="24"/>
        </w:rPr>
      </w:pPr>
    </w:p>
    <w:p w:rsidR="00EF5A51" w:rsidRDefault="00EF5A51" w:rsidP="00715F5B">
      <w:pPr>
        <w:spacing w:line="360" w:lineRule="auto"/>
        <w:ind w:firstLine="708"/>
        <w:rPr>
          <w:rFonts w:ascii="Times New Roman" w:hAnsi="Times New Roman" w:cs="Times New Roman"/>
          <w:sz w:val="24"/>
          <w:szCs w:val="24"/>
        </w:rPr>
      </w:pPr>
    </w:p>
    <w:p w:rsidR="00EF5A51" w:rsidRDefault="00EF5A51" w:rsidP="00715F5B">
      <w:pPr>
        <w:spacing w:line="360" w:lineRule="auto"/>
        <w:ind w:firstLine="708"/>
        <w:rPr>
          <w:rFonts w:ascii="Times New Roman" w:hAnsi="Times New Roman" w:cs="Times New Roman"/>
          <w:sz w:val="24"/>
          <w:szCs w:val="24"/>
        </w:rPr>
      </w:pPr>
    </w:p>
    <w:p w:rsidR="00EF5A51" w:rsidRDefault="00EF5A51" w:rsidP="00715F5B">
      <w:pPr>
        <w:spacing w:line="360" w:lineRule="auto"/>
        <w:ind w:firstLine="708"/>
        <w:rPr>
          <w:rFonts w:ascii="Times New Roman" w:hAnsi="Times New Roman" w:cs="Times New Roman"/>
          <w:sz w:val="24"/>
          <w:szCs w:val="24"/>
        </w:rPr>
      </w:pPr>
    </w:p>
    <w:p w:rsidR="00EF5A51" w:rsidRDefault="00EF5A51" w:rsidP="00715F5B">
      <w:pPr>
        <w:spacing w:line="360" w:lineRule="auto"/>
        <w:ind w:firstLine="708"/>
        <w:rPr>
          <w:rFonts w:ascii="Times New Roman" w:hAnsi="Times New Roman" w:cs="Times New Roman"/>
          <w:sz w:val="24"/>
          <w:szCs w:val="24"/>
        </w:rPr>
      </w:pPr>
    </w:p>
    <w:p w:rsidR="00EF5A51" w:rsidRDefault="00EF5A51" w:rsidP="00715F5B">
      <w:pPr>
        <w:spacing w:line="360" w:lineRule="auto"/>
        <w:ind w:firstLine="708"/>
        <w:rPr>
          <w:rFonts w:ascii="Times New Roman" w:hAnsi="Times New Roman" w:cs="Times New Roman"/>
          <w:sz w:val="24"/>
          <w:szCs w:val="24"/>
        </w:rPr>
      </w:pPr>
    </w:p>
    <w:p w:rsidR="00EF5A51" w:rsidRDefault="00EF5A51" w:rsidP="00715F5B">
      <w:pPr>
        <w:spacing w:line="360" w:lineRule="auto"/>
        <w:ind w:firstLine="708"/>
        <w:rPr>
          <w:rFonts w:ascii="Times New Roman" w:hAnsi="Times New Roman" w:cs="Times New Roman"/>
          <w:sz w:val="24"/>
          <w:szCs w:val="24"/>
        </w:rPr>
      </w:pPr>
    </w:p>
    <w:p w:rsidR="00EF5A51" w:rsidRDefault="00EF5A51" w:rsidP="00715F5B">
      <w:pPr>
        <w:spacing w:line="360" w:lineRule="auto"/>
        <w:ind w:firstLine="708"/>
        <w:rPr>
          <w:rFonts w:ascii="Times New Roman" w:hAnsi="Times New Roman" w:cs="Times New Roman"/>
          <w:sz w:val="24"/>
          <w:szCs w:val="24"/>
        </w:rPr>
      </w:pPr>
    </w:p>
    <w:p w:rsidR="00EF5A51" w:rsidRDefault="00EF5A51" w:rsidP="00715F5B">
      <w:pPr>
        <w:spacing w:line="360" w:lineRule="auto"/>
        <w:ind w:firstLine="708"/>
        <w:rPr>
          <w:rFonts w:ascii="Times New Roman" w:hAnsi="Times New Roman" w:cs="Times New Roman"/>
          <w:sz w:val="24"/>
          <w:szCs w:val="24"/>
        </w:rPr>
      </w:pPr>
    </w:p>
    <w:p w:rsidR="00EF5A51" w:rsidRDefault="00EF5A51" w:rsidP="00715F5B">
      <w:pPr>
        <w:spacing w:line="360" w:lineRule="auto"/>
        <w:ind w:firstLine="708"/>
        <w:rPr>
          <w:rFonts w:ascii="Times New Roman" w:hAnsi="Times New Roman" w:cs="Times New Roman"/>
          <w:sz w:val="24"/>
          <w:szCs w:val="24"/>
        </w:rPr>
      </w:pPr>
    </w:p>
    <w:p w:rsidR="00EF5A51" w:rsidRDefault="00EF5A51" w:rsidP="00715F5B">
      <w:pPr>
        <w:spacing w:line="360" w:lineRule="auto"/>
        <w:ind w:firstLine="708"/>
        <w:rPr>
          <w:rFonts w:ascii="Times New Roman" w:hAnsi="Times New Roman" w:cs="Times New Roman"/>
          <w:sz w:val="24"/>
          <w:szCs w:val="24"/>
        </w:rPr>
      </w:pPr>
    </w:p>
    <w:p w:rsidR="00EF5A51" w:rsidRDefault="00EF5A51" w:rsidP="00715F5B">
      <w:pPr>
        <w:spacing w:line="360" w:lineRule="auto"/>
        <w:ind w:firstLine="708"/>
        <w:rPr>
          <w:rFonts w:ascii="Times New Roman" w:hAnsi="Times New Roman" w:cs="Times New Roman"/>
          <w:sz w:val="24"/>
          <w:szCs w:val="24"/>
        </w:rPr>
      </w:pPr>
    </w:p>
    <w:p w:rsidR="00EF5A51" w:rsidRDefault="00EF5A51" w:rsidP="00715F5B">
      <w:pPr>
        <w:spacing w:line="360" w:lineRule="auto"/>
        <w:ind w:firstLine="708"/>
        <w:rPr>
          <w:rFonts w:ascii="Times New Roman" w:hAnsi="Times New Roman" w:cs="Times New Roman"/>
          <w:sz w:val="24"/>
          <w:szCs w:val="24"/>
        </w:rPr>
      </w:pPr>
    </w:p>
    <w:p w:rsidR="00715F5B" w:rsidRPr="00B17BFB" w:rsidRDefault="00715F5B" w:rsidP="00EF5A51">
      <w:pPr>
        <w:pStyle w:val="Ttulo3"/>
      </w:pPr>
      <w:bookmarkStart w:id="118" w:name="_Toc333911369"/>
      <w:r w:rsidRPr="00B17BFB">
        <w:lastRenderedPageBreak/>
        <w:t>3.1.5 Considerações sobre o caso norte-americano</w:t>
      </w:r>
      <w:bookmarkEnd w:id="118"/>
    </w:p>
    <w:p w:rsidR="00715F5B" w:rsidRPr="004F0E5C" w:rsidRDefault="00715F5B" w:rsidP="00715F5B">
      <w:pPr>
        <w:spacing w:line="360" w:lineRule="auto"/>
        <w:rPr>
          <w:rFonts w:ascii="Times New Roman" w:hAnsi="Times New Roman" w:cs="Times New Roman"/>
          <w:sz w:val="24"/>
          <w:szCs w:val="24"/>
        </w:rPr>
      </w:pPr>
    </w:p>
    <w:p w:rsidR="00715F5B" w:rsidRDefault="00715F5B" w:rsidP="00715F5B">
      <w:pPr>
        <w:spacing w:line="360" w:lineRule="auto"/>
        <w:ind w:firstLine="708"/>
        <w:rPr>
          <w:rFonts w:ascii="Times New Roman" w:hAnsi="Times New Roman" w:cs="Times New Roman"/>
          <w:sz w:val="24"/>
          <w:szCs w:val="24"/>
        </w:rPr>
      </w:pPr>
      <w:r w:rsidRPr="00F64523">
        <w:rPr>
          <w:rFonts w:ascii="Times New Roman" w:hAnsi="Times New Roman" w:cs="Times New Roman"/>
          <w:sz w:val="24"/>
          <w:szCs w:val="24"/>
        </w:rPr>
        <w:t xml:space="preserve">Em </w:t>
      </w:r>
      <w:r>
        <w:rPr>
          <w:rFonts w:ascii="Times New Roman" w:hAnsi="Times New Roman" w:cs="Times New Roman"/>
          <w:sz w:val="24"/>
          <w:szCs w:val="24"/>
        </w:rPr>
        <w:t>resumo</w:t>
      </w:r>
      <w:r w:rsidRPr="00F64523">
        <w:rPr>
          <w:rFonts w:ascii="Times New Roman" w:hAnsi="Times New Roman" w:cs="Times New Roman"/>
          <w:sz w:val="24"/>
          <w:szCs w:val="24"/>
        </w:rPr>
        <w:t>,</w:t>
      </w:r>
      <w:r>
        <w:rPr>
          <w:rFonts w:ascii="Times New Roman" w:hAnsi="Times New Roman" w:cs="Times New Roman"/>
          <w:sz w:val="24"/>
          <w:szCs w:val="24"/>
        </w:rPr>
        <w:t xml:space="preserve"> os incentivos oferecidos pelo esquema regulatório norte-americano ao biobutanol estão fortemente condicionados ao desempenho da tecnologia de produção empregada. Caso os produtores demonstrem que a rota de produção durante todo o ciclo de vida é capaz de reduzir em 50% as emissões de GEE, eles têm direito de usufruir a parcela de mercado reservada para essa categoria de combustível renovável. No estágio em que se encontra a tecnologia, é possível que as melhores oportunidades de negócio estejam atreladas à exploração do biobutanol como uma plataforma para produção de outros produtos, como químicos e plásticos, e não como combustível. </w:t>
      </w:r>
    </w:p>
    <w:p w:rsidR="00715F5B" w:rsidRDefault="00715F5B" w:rsidP="00715F5B">
      <w:pPr>
        <w:spacing w:line="360" w:lineRule="auto"/>
        <w:ind w:firstLine="708"/>
        <w:rPr>
          <w:rFonts w:ascii="Times New Roman" w:hAnsi="Times New Roman" w:cs="Times New Roman"/>
          <w:sz w:val="24"/>
          <w:szCs w:val="24"/>
        </w:rPr>
      </w:pPr>
      <w:r>
        <w:rPr>
          <w:rFonts w:ascii="Times New Roman" w:hAnsi="Times New Roman" w:cs="Times New Roman"/>
          <w:sz w:val="24"/>
          <w:szCs w:val="24"/>
        </w:rPr>
        <w:t>Por outro lado, o</w:t>
      </w:r>
      <w:r w:rsidRPr="00B17BFB">
        <w:rPr>
          <w:rFonts w:ascii="Times New Roman" w:hAnsi="Times New Roman" w:cs="Times New Roman"/>
          <w:sz w:val="24"/>
          <w:szCs w:val="24"/>
        </w:rPr>
        <w:t>s esforços que Slating e Kesan (2011) dedicam para nos convencer da necessidade de “inovação regulatória” na estrutura da EPA para incentivar a produção de biobutanol nas u</w:t>
      </w:r>
      <w:r w:rsidR="00D202DB">
        <w:rPr>
          <w:rFonts w:ascii="Times New Roman" w:hAnsi="Times New Roman" w:cs="Times New Roman"/>
          <w:sz w:val="24"/>
          <w:szCs w:val="24"/>
        </w:rPr>
        <w:t>sinas de etanol existentes podem fazer</w:t>
      </w:r>
      <w:r w:rsidRPr="00B17BFB">
        <w:rPr>
          <w:rFonts w:ascii="Times New Roman" w:hAnsi="Times New Roman" w:cs="Times New Roman"/>
          <w:sz w:val="24"/>
          <w:szCs w:val="24"/>
        </w:rPr>
        <w:t xml:space="preserve"> sentido quando retornamos à análise de Regalbuto (2011). A</w:t>
      </w:r>
      <w:r w:rsidR="00D202DB">
        <w:rPr>
          <w:rFonts w:ascii="Times New Roman" w:hAnsi="Times New Roman" w:cs="Times New Roman"/>
          <w:sz w:val="24"/>
          <w:szCs w:val="24"/>
        </w:rPr>
        <w:t xml:space="preserve">pesar de o biobutanol não poder ser considerado efetivamente um biocombustível </w:t>
      </w:r>
      <w:r w:rsidR="00D202DB" w:rsidRPr="00D202DB">
        <w:rPr>
          <w:rFonts w:ascii="Times New Roman" w:hAnsi="Times New Roman" w:cs="Times New Roman"/>
          <w:i/>
          <w:sz w:val="24"/>
          <w:szCs w:val="24"/>
        </w:rPr>
        <w:t>drop-in</w:t>
      </w:r>
      <w:r w:rsidR="00D202DB">
        <w:rPr>
          <w:rFonts w:ascii="Times New Roman" w:hAnsi="Times New Roman" w:cs="Times New Roman"/>
          <w:sz w:val="24"/>
          <w:szCs w:val="24"/>
        </w:rPr>
        <w:t>, a</w:t>
      </w:r>
      <w:r w:rsidRPr="00B17BFB">
        <w:rPr>
          <w:rFonts w:ascii="Times New Roman" w:hAnsi="Times New Roman" w:cs="Times New Roman"/>
          <w:sz w:val="24"/>
          <w:szCs w:val="24"/>
        </w:rPr>
        <w:t xml:space="preserve"> </w:t>
      </w:r>
      <w:r w:rsidR="00D202DB">
        <w:rPr>
          <w:rFonts w:ascii="Times New Roman" w:hAnsi="Times New Roman" w:cs="Times New Roman"/>
          <w:sz w:val="24"/>
          <w:szCs w:val="24"/>
        </w:rPr>
        <w:t xml:space="preserve">menor </w:t>
      </w:r>
      <w:r w:rsidRPr="00B17BFB">
        <w:rPr>
          <w:rFonts w:ascii="Times New Roman" w:hAnsi="Times New Roman" w:cs="Times New Roman"/>
          <w:sz w:val="24"/>
          <w:szCs w:val="24"/>
        </w:rPr>
        <w:t>necessidade de adaptação dos ativos complementares nos Estados Unidos</w:t>
      </w:r>
      <w:r w:rsidR="00D202DB">
        <w:rPr>
          <w:rFonts w:ascii="Times New Roman" w:hAnsi="Times New Roman" w:cs="Times New Roman"/>
          <w:sz w:val="24"/>
          <w:szCs w:val="24"/>
        </w:rPr>
        <w:t xml:space="preserve"> imposta por seu consumo</w:t>
      </w:r>
      <w:r w:rsidRPr="00B17BFB">
        <w:rPr>
          <w:rFonts w:ascii="Times New Roman" w:hAnsi="Times New Roman" w:cs="Times New Roman"/>
          <w:sz w:val="24"/>
          <w:szCs w:val="24"/>
        </w:rPr>
        <w:t xml:space="preserve"> e o maior interesse dos programas de financiamento em biocombustíveis de maior conteúdo energético favoreceriam a comercialização do biobutanol</w:t>
      </w:r>
      <w:r w:rsidR="00D202DB">
        <w:rPr>
          <w:rFonts w:ascii="Times New Roman" w:hAnsi="Times New Roman" w:cs="Times New Roman"/>
          <w:sz w:val="24"/>
          <w:szCs w:val="24"/>
        </w:rPr>
        <w:t>, quando comparado ao etanol</w:t>
      </w:r>
      <w:r w:rsidRPr="00B17BFB">
        <w:rPr>
          <w:rFonts w:ascii="Times New Roman" w:hAnsi="Times New Roman" w:cs="Times New Roman"/>
          <w:sz w:val="24"/>
          <w:szCs w:val="24"/>
        </w:rPr>
        <w:t>.</w:t>
      </w:r>
    </w:p>
    <w:p w:rsidR="00EF5A51" w:rsidRPr="00B17BFB" w:rsidRDefault="00EF5A51" w:rsidP="00715F5B">
      <w:pPr>
        <w:spacing w:line="360" w:lineRule="auto"/>
        <w:ind w:firstLine="708"/>
        <w:rPr>
          <w:rFonts w:ascii="Times New Roman" w:hAnsi="Times New Roman" w:cs="Times New Roman"/>
          <w:sz w:val="24"/>
          <w:szCs w:val="24"/>
        </w:rPr>
      </w:pPr>
    </w:p>
    <w:p w:rsidR="00715F5B" w:rsidRPr="00EF5A51" w:rsidRDefault="00715F5B" w:rsidP="00EF5A51">
      <w:pPr>
        <w:pStyle w:val="Ttulo2"/>
      </w:pPr>
      <w:bookmarkStart w:id="119" w:name="_Toc330506372"/>
      <w:bookmarkStart w:id="120" w:name="_Toc333911370"/>
      <w:r w:rsidRPr="00EF5A51">
        <w:t>3.2 O caso brasileiro</w:t>
      </w:r>
      <w:bookmarkEnd w:id="119"/>
      <w:bookmarkEnd w:id="120"/>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r w:rsidRPr="00DB2B7C">
        <w:rPr>
          <w:rFonts w:ascii="Times New Roman" w:hAnsi="Times New Roman" w:cs="Times New Roman"/>
          <w:sz w:val="24"/>
          <w:szCs w:val="24"/>
          <w:lang w:val="pt-PT"/>
        </w:rPr>
        <w:t xml:space="preserve">A fim de ilustrar </w:t>
      </w:r>
      <w:r>
        <w:rPr>
          <w:rFonts w:ascii="Times New Roman" w:hAnsi="Times New Roman" w:cs="Times New Roman"/>
          <w:sz w:val="24"/>
          <w:szCs w:val="24"/>
          <w:lang w:val="pt-PT"/>
        </w:rPr>
        <w:t xml:space="preserve">a importância da rápida resposta das regulação às mudanças trazidas pela dinâmica tecnológica em biocombustíveis no Brasil, usaremos como estudo de caso a tentativa de comercialização de um novo biocombustível. Mais especificamente, optou-se pelo diesel de cana, desenvolvido recentemente pela empresa norte-americana de biotecnologia Amyris, pelo fato de que ele dá seus primeiros passos na fase comercial e já vem sendo utilizado nas frotas de ônibus em duas capitais. </w:t>
      </w:r>
    </w:p>
    <w:p w:rsidR="00715F5B" w:rsidRPr="00BF6297"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A seguir, são discutidas questões relativas às políticas energética, ambiental e industrial que estão diretamente associadas à produção e ao consumo de biocombustíveis no Brasil. Cabe </w:t>
      </w:r>
      <w:r w:rsidRPr="00BF6297">
        <w:rPr>
          <w:rFonts w:ascii="Times New Roman" w:hAnsi="Times New Roman" w:cs="Times New Roman"/>
          <w:sz w:val="24"/>
          <w:szCs w:val="24"/>
          <w:lang w:val="pt-PT"/>
        </w:rPr>
        <w:t>ressaltar que o objetivo não é alcançar uma análise minuciosa de</w:t>
      </w:r>
      <w:r>
        <w:rPr>
          <w:rFonts w:ascii="Times New Roman" w:hAnsi="Times New Roman" w:cs="Times New Roman"/>
          <w:sz w:val="24"/>
          <w:szCs w:val="24"/>
          <w:lang w:val="pt-PT"/>
        </w:rPr>
        <w:t xml:space="preserve"> cada uma delas, mas sim m</w:t>
      </w:r>
      <w:r w:rsidRPr="00BF6297">
        <w:rPr>
          <w:rFonts w:ascii="Times New Roman" w:hAnsi="Times New Roman" w:cs="Times New Roman"/>
          <w:sz w:val="24"/>
          <w:szCs w:val="24"/>
          <w:lang w:val="pt-PT"/>
        </w:rPr>
        <w:t>ostrar a complexidade da questão regulatória, compondo o cenário em que esta se insere, uma vez que a proposta desta dissertação é justamente destacar a importância da coordenação e adaptação da regulação com outros elementos sistêmicos no processo da evolução industrial.</w:t>
      </w:r>
      <w:r>
        <w:rPr>
          <w:rFonts w:ascii="Times New Roman" w:hAnsi="Times New Roman" w:cs="Times New Roman"/>
          <w:sz w:val="24"/>
          <w:szCs w:val="24"/>
          <w:lang w:val="pt-PT"/>
        </w:rPr>
        <w:t xml:space="preserve"> </w:t>
      </w:r>
    </w:p>
    <w:p w:rsidR="00715F5B" w:rsidRDefault="00715F5B" w:rsidP="00715F5B">
      <w:pPr>
        <w:pStyle w:val="Ttulo2"/>
        <w:rPr>
          <w:color w:val="00B050"/>
          <w:szCs w:val="24"/>
        </w:rPr>
      </w:pPr>
    </w:p>
    <w:p w:rsidR="00715F5B" w:rsidRPr="0035646B" w:rsidRDefault="00715F5B" w:rsidP="00EF5A51">
      <w:pPr>
        <w:pStyle w:val="Ttulo3"/>
      </w:pPr>
      <w:bookmarkStart w:id="121" w:name="_Toc333911371"/>
      <w:r>
        <w:t>3.2.1 A Regulação dos b</w:t>
      </w:r>
      <w:r w:rsidRPr="0035646B">
        <w:t>iocombustíveis no Brasil</w:t>
      </w:r>
      <w:bookmarkEnd w:id="121"/>
    </w:p>
    <w:p w:rsidR="00715F5B" w:rsidRPr="0035646B" w:rsidRDefault="00715F5B" w:rsidP="00715F5B">
      <w:pPr>
        <w:spacing w:line="360" w:lineRule="auto"/>
        <w:ind w:firstLine="708"/>
        <w:rPr>
          <w:rFonts w:ascii="Times New Roman" w:hAnsi="Times New Roman" w:cs="Times New Roman"/>
          <w:sz w:val="24"/>
          <w:szCs w:val="24"/>
          <w:lang w:val="pt-PT"/>
        </w:rPr>
      </w:pPr>
    </w:p>
    <w:p w:rsidR="00715F5B" w:rsidRPr="0035646B" w:rsidRDefault="00715F5B" w:rsidP="00715F5B">
      <w:pPr>
        <w:spacing w:line="360" w:lineRule="auto"/>
        <w:ind w:firstLine="708"/>
        <w:rPr>
          <w:rFonts w:ascii="Times New Roman" w:hAnsi="Times New Roman" w:cs="Times New Roman"/>
          <w:sz w:val="24"/>
          <w:szCs w:val="24"/>
          <w:lang w:val="pt-PT"/>
        </w:rPr>
      </w:pPr>
      <w:r w:rsidRPr="0035646B">
        <w:rPr>
          <w:rFonts w:ascii="Times New Roman" w:hAnsi="Times New Roman" w:cs="Times New Roman"/>
          <w:sz w:val="24"/>
          <w:szCs w:val="24"/>
          <w:lang w:val="pt-PT"/>
        </w:rPr>
        <w:t>No presente, o órgão responsável pela regulação da produção, distribuição e comercialização de b</w:t>
      </w:r>
      <w:r>
        <w:rPr>
          <w:rFonts w:ascii="Times New Roman" w:hAnsi="Times New Roman" w:cs="Times New Roman"/>
          <w:sz w:val="24"/>
          <w:szCs w:val="24"/>
          <w:lang w:val="pt-PT"/>
        </w:rPr>
        <w:t>iocombustíveis no Brasil é a Agência Nacional do Petróleo, Gás e Biocombustíveis (ANP)</w:t>
      </w:r>
      <w:r w:rsidRPr="0035646B">
        <w:rPr>
          <w:rFonts w:ascii="Times New Roman" w:hAnsi="Times New Roman" w:cs="Times New Roman"/>
          <w:sz w:val="24"/>
          <w:szCs w:val="24"/>
          <w:lang w:val="pt-PT"/>
        </w:rPr>
        <w:t xml:space="preserve">, </w:t>
      </w:r>
      <w:r>
        <w:rPr>
          <w:rFonts w:ascii="Times New Roman" w:hAnsi="Times New Roman" w:cs="Times New Roman"/>
          <w:sz w:val="24"/>
          <w:szCs w:val="24"/>
          <w:lang w:val="pt-PT"/>
        </w:rPr>
        <w:t>uma autarquia especial vinculada ao Ministério de Minas e Energia (MME), que tem como finalidade a implementação de políticas energéticas. É</w:t>
      </w:r>
      <w:r w:rsidRPr="0035646B">
        <w:rPr>
          <w:rFonts w:ascii="Times New Roman" w:hAnsi="Times New Roman" w:cs="Times New Roman"/>
          <w:sz w:val="24"/>
          <w:szCs w:val="24"/>
          <w:lang w:val="pt-PT"/>
        </w:rPr>
        <w:t xml:space="preserve"> importante enfatizar que a atribuição dessas respon</w:t>
      </w:r>
      <w:r>
        <w:rPr>
          <w:rFonts w:ascii="Times New Roman" w:hAnsi="Times New Roman" w:cs="Times New Roman"/>
          <w:sz w:val="24"/>
          <w:szCs w:val="24"/>
          <w:lang w:val="pt-PT"/>
        </w:rPr>
        <w:t>sabilidades é bastante recente: o</w:t>
      </w:r>
      <w:r w:rsidRPr="0035646B">
        <w:rPr>
          <w:rFonts w:ascii="Times New Roman" w:hAnsi="Times New Roman" w:cs="Times New Roman"/>
          <w:sz w:val="24"/>
          <w:szCs w:val="24"/>
        </w:rPr>
        <w:t xml:space="preserve"> marco regulatório para o biodiesel foi criado com a Lei Nº 11.097/2005, ao passo que o etanol só deixou de ser produto agrícola e passou a ser produto energético com a publicação da Medida Provisória 532 em Abril de 2011, </w:t>
      </w:r>
      <w:r w:rsidRPr="0035646B">
        <w:rPr>
          <w:rFonts w:ascii="Times New Roman" w:hAnsi="Times New Roman" w:cs="Times New Roman"/>
          <w:sz w:val="24"/>
          <w:szCs w:val="24"/>
          <w:lang w:val="pt-PT"/>
        </w:rPr>
        <w:t xml:space="preserve">representando um desafio à autarquia, que foi criada para regular o mercado de petróleo e gás natural. A introdução de um mercado que depende da produção agrícola, dispersa entre um número elevado de agentes privados, aumenta ainda mais a necessidade de coordenação da regulação com as políticas públicas setoriais. </w:t>
      </w:r>
    </w:p>
    <w:p w:rsidR="00715F5B" w:rsidRPr="0035646B" w:rsidRDefault="00715F5B" w:rsidP="00715F5B">
      <w:pPr>
        <w:spacing w:line="360" w:lineRule="auto"/>
        <w:ind w:firstLine="708"/>
        <w:rPr>
          <w:rFonts w:ascii="Times New Roman" w:hAnsi="Times New Roman" w:cs="Times New Roman"/>
          <w:sz w:val="24"/>
          <w:szCs w:val="24"/>
          <w:lang w:val="pt-PT"/>
        </w:rPr>
      </w:pPr>
      <w:r w:rsidRPr="0035646B">
        <w:rPr>
          <w:rFonts w:ascii="Times New Roman" w:hAnsi="Times New Roman" w:cs="Times New Roman"/>
          <w:sz w:val="24"/>
          <w:szCs w:val="24"/>
          <w:lang w:val="pt-PT"/>
        </w:rPr>
        <w:t>A Agência estabelece diretrizes para sua atuação com base na legislação vigente e em iniciativas governamentais como as medidas provisórias. Entre os objetivos explícitos delineados pelas Ações Prioritárias da agência para o biênio 2011-2012, destaca-se a consolidação “da participação dos biocombustíveis na matriz energética e garantia de suprimento em longo prazo” (ANP, 2011). Formalmente, é atribuída à ANP a responsabilidade de implementar a política nacional para o setor de petróleo, gás e biocombustíveis, fazendo cumprir as boas práticas de conservação e uso racional destes recursos e de preservação do meio ambiente (LEI Nº 9.478/97).</w:t>
      </w:r>
    </w:p>
    <w:p w:rsidR="00715F5B" w:rsidRDefault="00715F5B" w:rsidP="00715F5B">
      <w:pPr>
        <w:spacing w:line="360" w:lineRule="auto"/>
        <w:ind w:firstLine="708"/>
        <w:rPr>
          <w:rFonts w:ascii="Times New Roman" w:hAnsi="Times New Roman" w:cs="Times New Roman"/>
          <w:sz w:val="24"/>
          <w:szCs w:val="24"/>
          <w:lang w:val="pt-PT"/>
        </w:rPr>
      </w:pPr>
      <w:r w:rsidRPr="0035646B">
        <w:rPr>
          <w:rFonts w:ascii="Times New Roman" w:hAnsi="Times New Roman" w:cs="Times New Roman"/>
          <w:sz w:val="24"/>
          <w:szCs w:val="24"/>
          <w:lang w:val="pt-PT"/>
        </w:rPr>
        <w:t>A Lei nº 12.490, de 16/09/2011, alterou a Lei nº 9.478/97, ampliando a competência da ANP para toda a indústria de biocombustíveis. Entre os objetivos acrescentados às políticas nacionais para o aproveitamento racional das fontes de energia estão:</w:t>
      </w:r>
    </w:p>
    <w:p w:rsidR="00715F5B" w:rsidRPr="0035646B" w:rsidRDefault="00715F5B" w:rsidP="00715F5B">
      <w:pPr>
        <w:spacing w:line="360" w:lineRule="auto"/>
        <w:ind w:firstLine="708"/>
        <w:rPr>
          <w:rFonts w:ascii="Times New Roman" w:hAnsi="Times New Roman" w:cs="Times New Roman"/>
          <w:sz w:val="24"/>
          <w:szCs w:val="24"/>
          <w:lang w:val="pt-PT"/>
        </w:rPr>
      </w:pPr>
    </w:p>
    <w:p w:rsidR="00715F5B" w:rsidRPr="0035646B" w:rsidRDefault="00715F5B" w:rsidP="00715F5B">
      <w:pPr>
        <w:spacing w:line="360" w:lineRule="auto"/>
        <w:ind w:firstLine="708"/>
        <w:rPr>
          <w:rFonts w:ascii="Times New Roman" w:hAnsi="Times New Roman" w:cs="Times New Roman"/>
          <w:sz w:val="24"/>
          <w:szCs w:val="24"/>
          <w:lang w:val="pt-PT"/>
        </w:rPr>
      </w:pPr>
      <w:r w:rsidRPr="0035646B">
        <w:rPr>
          <w:rFonts w:ascii="Times New Roman" w:hAnsi="Times New Roman" w:cs="Times New Roman"/>
          <w:sz w:val="24"/>
          <w:szCs w:val="24"/>
          <w:lang w:val="pt-PT"/>
        </w:rPr>
        <w:t xml:space="preserve">i) a garantia de abastecimento de biocombustíveis em todo o território nacional; </w:t>
      </w:r>
    </w:p>
    <w:p w:rsidR="00715F5B" w:rsidRPr="0035646B" w:rsidRDefault="00715F5B" w:rsidP="00715F5B">
      <w:pPr>
        <w:spacing w:line="360" w:lineRule="auto"/>
        <w:ind w:firstLine="708"/>
        <w:rPr>
          <w:rFonts w:ascii="Times New Roman" w:hAnsi="Times New Roman" w:cs="Times New Roman"/>
          <w:sz w:val="24"/>
          <w:szCs w:val="24"/>
          <w:lang w:val="pt-PT"/>
        </w:rPr>
      </w:pPr>
      <w:r w:rsidRPr="0035646B">
        <w:rPr>
          <w:rFonts w:ascii="Times New Roman" w:hAnsi="Times New Roman" w:cs="Times New Roman"/>
          <w:sz w:val="24"/>
          <w:szCs w:val="24"/>
          <w:lang w:val="pt-PT"/>
        </w:rPr>
        <w:t>ii) o incentivo à geração de energia elétrica a partir da biomassa e de subprodutos da produção de biocombustíveis;</w:t>
      </w:r>
    </w:p>
    <w:p w:rsidR="00715F5B" w:rsidRPr="0035646B" w:rsidRDefault="00715F5B" w:rsidP="00715F5B">
      <w:pPr>
        <w:spacing w:line="360" w:lineRule="auto"/>
        <w:ind w:firstLine="708"/>
        <w:rPr>
          <w:rFonts w:ascii="Times New Roman" w:hAnsi="Times New Roman" w:cs="Times New Roman"/>
          <w:sz w:val="24"/>
          <w:szCs w:val="24"/>
          <w:lang w:val="pt-PT"/>
        </w:rPr>
      </w:pPr>
      <w:r w:rsidRPr="0035646B">
        <w:rPr>
          <w:rFonts w:ascii="Times New Roman" w:hAnsi="Times New Roman" w:cs="Times New Roman"/>
          <w:sz w:val="24"/>
          <w:szCs w:val="24"/>
          <w:lang w:val="pt-PT"/>
        </w:rPr>
        <w:t>iii) a promoção da competitividade brasileira no mercado internacional de biocombustíveis;</w:t>
      </w:r>
    </w:p>
    <w:p w:rsidR="00715F5B" w:rsidRPr="0035646B" w:rsidRDefault="00715F5B" w:rsidP="00715F5B">
      <w:pPr>
        <w:spacing w:line="360" w:lineRule="auto"/>
        <w:ind w:firstLine="708"/>
        <w:rPr>
          <w:rFonts w:ascii="Times New Roman" w:hAnsi="Times New Roman" w:cs="Times New Roman"/>
          <w:sz w:val="24"/>
          <w:szCs w:val="24"/>
          <w:lang w:val="pt-PT"/>
        </w:rPr>
      </w:pPr>
      <w:r w:rsidRPr="0035646B">
        <w:rPr>
          <w:rFonts w:ascii="Times New Roman" w:hAnsi="Times New Roman" w:cs="Times New Roman"/>
          <w:sz w:val="24"/>
          <w:szCs w:val="24"/>
          <w:lang w:val="pt-PT"/>
        </w:rPr>
        <w:t>iv) a atração de investimentos em infraestrutura para transporte e estocagem de biocombustíveis;</w:t>
      </w:r>
    </w:p>
    <w:p w:rsidR="00715F5B" w:rsidRPr="0035646B" w:rsidRDefault="00715F5B" w:rsidP="00715F5B">
      <w:pPr>
        <w:spacing w:line="360" w:lineRule="auto"/>
        <w:ind w:firstLine="708"/>
        <w:rPr>
          <w:rFonts w:ascii="Times New Roman" w:hAnsi="Times New Roman" w:cs="Times New Roman"/>
          <w:sz w:val="24"/>
          <w:szCs w:val="24"/>
          <w:lang w:val="pt-PT"/>
        </w:rPr>
      </w:pPr>
      <w:r w:rsidRPr="0035646B">
        <w:rPr>
          <w:rFonts w:ascii="Times New Roman" w:hAnsi="Times New Roman" w:cs="Times New Roman"/>
          <w:sz w:val="24"/>
          <w:szCs w:val="24"/>
          <w:lang w:val="pt-PT"/>
        </w:rPr>
        <w:t>v) o fomento a pesquisa e desenvolvimento relacionados a energias renováveis;</w:t>
      </w:r>
    </w:p>
    <w:p w:rsidR="00715F5B" w:rsidRDefault="00715F5B" w:rsidP="00715F5B">
      <w:pPr>
        <w:spacing w:line="360" w:lineRule="auto"/>
        <w:ind w:firstLine="708"/>
        <w:rPr>
          <w:rFonts w:ascii="Times New Roman" w:hAnsi="Times New Roman" w:cs="Times New Roman"/>
          <w:sz w:val="24"/>
          <w:szCs w:val="24"/>
          <w:lang w:val="pt-PT"/>
        </w:rPr>
      </w:pPr>
      <w:r w:rsidRPr="0035646B">
        <w:rPr>
          <w:rFonts w:ascii="Times New Roman" w:hAnsi="Times New Roman" w:cs="Times New Roman"/>
          <w:sz w:val="24"/>
          <w:szCs w:val="24"/>
          <w:lang w:val="pt-PT"/>
        </w:rPr>
        <w:lastRenderedPageBreak/>
        <w:t xml:space="preserve">vii) a mitigação das emissões de GEE e poluentes nos setores de energia e transportes, inclusive com o uso de biocombustíveis. </w:t>
      </w:r>
    </w:p>
    <w:p w:rsidR="00715F5B" w:rsidRPr="0035646B" w:rsidRDefault="00715F5B" w:rsidP="00715F5B">
      <w:pPr>
        <w:spacing w:line="360" w:lineRule="auto"/>
        <w:ind w:firstLine="708"/>
        <w:rPr>
          <w:rFonts w:ascii="Times New Roman" w:hAnsi="Times New Roman" w:cs="Times New Roman"/>
          <w:sz w:val="24"/>
          <w:szCs w:val="24"/>
          <w:lang w:val="pt-PT"/>
        </w:rPr>
      </w:pPr>
    </w:p>
    <w:p w:rsidR="00715F5B" w:rsidRPr="0035646B" w:rsidRDefault="00715F5B" w:rsidP="00715F5B">
      <w:pPr>
        <w:spacing w:line="360" w:lineRule="auto"/>
        <w:ind w:firstLine="708"/>
        <w:rPr>
          <w:rFonts w:ascii="Times New Roman" w:hAnsi="Times New Roman" w:cs="Times New Roman"/>
          <w:sz w:val="24"/>
          <w:szCs w:val="24"/>
          <w:lang w:val="pt-PT"/>
        </w:rPr>
      </w:pPr>
      <w:r w:rsidRPr="0035646B">
        <w:rPr>
          <w:rFonts w:ascii="Times New Roman" w:hAnsi="Times New Roman" w:cs="Times New Roman"/>
          <w:sz w:val="24"/>
          <w:szCs w:val="24"/>
          <w:lang w:val="pt-PT"/>
        </w:rPr>
        <w:t xml:space="preserve">Adicionalmente, o </w:t>
      </w:r>
      <w:r>
        <w:rPr>
          <w:rFonts w:ascii="Times New Roman" w:hAnsi="Times New Roman" w:cs="Times New Roman"/>
          <w:sz w:val="24"/>
          <w:szCs w:val="24"/>
          <w:lang w:val="pt-PT"/>
        </w:rPr>
        <w:t>Conselho Nacional de Política Energética</w:t>
      </w:r>
      <w:r w:rsidRPr="0035646B">
        <w:rPr>
          <w:rFonts w:ascii="Times New Roman" w:hAnsi="Times New Roman" w:cs="Times New Roman"/>
          <w:sz w:val="24"/>
          <w:szCs w:val="24"/>
          <w:lang w:val="pt-PT"/>
        </w:rPr>
        <w:t xml:space="preserve"> </w:t>
      </w:r>
      <w:r>
        <w:rPr>
          <w:rFonts w:ascii="Times New Roman" w:hAnsi="Times New Roman" w:cs="Times New Roman"/>
          <w:sz w:val="24"/>
          <w:szCs w:val="24"/>
          <w:lang w:val="pt-PT"/>
        </w:rPr>
        <w:t>(</w:t>
      </w:r>
      <w:r w:rsidRPr="0035646B">
        <w:rPr>
          <w:rFonts w:ascii="Times New Roman" w:hAnsi="Times New Roman" w:cs="Times New Roman"/>
          <w:sz w:val="24"/>
          <w:szCs w:val="24"/>
          <w:lang w:val="pt-PT"/>
        </w:rPr>
        <w:t>CNPE</w:t>
      </w:r>
      <w:r>
        <w:rPr>
          <w:rFonts w:ascii="Times New Roman" w:hAnsi="Times New Roman" w:cs="Times New Roman"/>
          <w:sz w:val="24"/>
          <w:szCs w:val="24"/>
          <w:lang w:val="pt-PT"/>
        </w:rPr>
        <w:t>)</w:t>
      </w:r>
      <w:r>
        <w:rPr>
          <w:rStyle w:val="Refdenotaderodap"/>
          <w:rFonts w:ascii="Times New Roman" w:hAnsi="Times New Roman" w:cs="Times New Roman"/>
          <w:sz w:val="24"/>
          <w:szCs w:val="24"/>
          <w:lang w:val="pt-PT"/>
        </w:rPr>
        <w:footnoteReference w:id="38"/>
      </w:r>
      <w:r w:rsidRPr="0035646B">
        <w:rPr>
          <w:rFonts w:ascii="Times New Roman" w:hAnsi="Times New Roman" w:cs="Times New Roman"/>
          <w:sz w:val="24"/>
          <w:szCs w:val="24"/>
          <w:lang w:val="pt-PT"/>
        </w:rPr>
        <w:t xml:space="preserve"> passou a incorporar a produção e o consumo de biocombustíveis em suas diretrizes para a importação e exportação, assegurando o funcionamento adequado do Sistema Nacional de Estoques de Combustíveis e o cumprimento do Plano Anual de Estoques Estratégicos de Combustíveis, previsto na Lei nº 8.176/91. Ao conselho foi também atribuída a função de elaborar políticas nacionais e estratégias de desenvolvimento econômico e tecnológico para a indústria de petróleo, gás natural e biocombustíveis e toda sua cadeia de suprimento (Art. 2º, Inciso IX).</w:t>
      </w:r>
    </w:p>
    <w:p w:rsidR="00715F5B" w:rsidRPr="0035646B" w:rsidRDefault="00715F5B" w:rsidP="00715F5B">
      <w:pPr>
        <w:spacing w:line="360" w:lineRule="auto"/>
        <w:rPr>
          <w:rFonts w:ascii="Times New Roman" w:hAnsi="Times New Roman" w:cs="Times New Roman"/>
          <w:sz w:val="24"/>
          <w:szCs w:val="24"/>
          <w:lang w:val="pt-PT"/>
        </w:rPr>
      </w:pPr>
      <w:r w:rsidRPr="0035646B">
        <w:rPr>
          <w:rFonts w:ascii="Times New Roman" w:hAnsi="Times New Roman" w:cs="Times New Roman"/>
          <w:sz w:val="24"/>
          <w:szCs w:val="24"/>
          <w:lang w:val="pt-PT"/>
        </w:rPr>
        <w:tab/>
        <w:t xml:space="preserve">A despeito de haver uma política que trata de biocombustíveis de forma geral, considerando a distinção de dinâmicas e estruturas entre os mercados de biodiesel e etanol, a regulação da produção destes biocombustíveis parece se dar de forma relativamente separada. </w:t>
      </w:r>
    </w:p>
    <w:p w:rsidR="00715F5B" w:rsidRDefault="00715F5B" w:rsidP="00715F5B">
      <w:pPr>
        <w:spacing w:line="360" w:lineRule="auto"/>
        <w:ind w:firstLine="708"/>
      </w:pPr>
      <w:r w:rsidRPr="0035646B">
        <w:rPr>
          <w:rFonts w:ascii="Times New Roman" w:hAnsi="Times New Roman" w:cs="Times New Roman"/>
          <w:sz w:val="24"/>
          <w:szCs w:val="24"/>
          <w:lang w:val="pt-PT"/>
        </w:rPr>
        <w:t xml:space="preserve">No </w:t>
      </w:r>
      <w:r>
        <w:rPr>
          <w:rFonts w:ascii="Times New Roman" w:hAnsi="Times New Roman" w:cs="Times New Roman"/>
          <w:sz w:val="24"/>
          <w:szCs w:val="24"/>
          <w:lang w:val="pt-PT"/>
        </w:rPr>
        <w:t>caso do biodiesel</w:t>
      </w:r>
      <w:r w:rsidRPr="0035646B">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o </w:t>
      </w:r>
      <w:r w:rsidRPr="0035646B">
        <w:rPr>
          <w:rFonts w:ascii="Times New Roman" w:hAnsi="Times New Roman" w:cs="Times New Roman"/>
          <w:sz w:val="24"/>
          <w:szCs w:val="24"/>
          <w:lang w:val="pt-PT"/>
        </w:rPr>
        <w:t xml:space="preserve">foco da regulação tem se voltado à percentagem da mistura obrigatória </w:t>
      </w:r>
      <w:r>
        <w:rPr>
          <w:rFonts w:ascii="Times New Roman" w:hAnsi="Times New Roman" w:cs="Times New Roman"/>
          <w:sz w:val="24"/>
          <w:szCs w:val="24"/>
          <w:lang w:val="pt-PT"/>
        </w:rPr>
        <w:t>ao óleo diesel. Em dezembro de 2004, foi lançado pelo governo federal o Programa Nacional de Produção e Uso do Biodiesel (PNPB), que tem como órgão deliberativo uma Comissão Interministerial, composta por 14 Ministérios e coordenada pela Casa Civil da Presidência da República. O MME é o coordenador do Grupo Gestor do programa, do qual fazem parte, além dos mesmos ministérios da Comissão, a ANP, a Petrobras, a Embrapa e o BNDES.</w:t>
      </w:r>
      <w:r w:rsidRPr="004C5AD3">
        <w:t xml:space="preserve"> </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Por meio da L</w:t>
      </w:r>
      <w:r w:rsidRPr="004C5AD3">
        <w:rPr>
          <w:rFonts w:ascii="Times New Roman" w:hAnsi="Times New Roman" w:cs="Times New Roman"/>
          <w:sz w:val="24"/>
          <w:szCs w:val="24"/>
          <w:lang w:val="pt-PT"/>
        </w:rPr>
        <w:t xml:space="preserve">ei </w:t>
      </w:r>
      <w:r>
        <w:rPr>
          <w:rFonts w:ascii="Times New Roman" w:hAnsi="Times New Roman" w:cs="Times New Roman"/>
          <w:sz w:val="24"/>
          <w:szCs w:val="24"/>
          <w:lang w:val="pt-PT"/>
        </w:rPr>
        <w:t>nº. 11.097/</w:t>
      </w:r>
      <w:r w:rsidRPr="004C5AD3">
        <w:rPr>
          <w:rFonts w:ascii="Times New Roman" w:hAnsi="Times New Roman" w:cs="Times New Roman"/>
          <w:sz w:val="24"/>
          <w:szCs w:val="24"/>
          <w:lang w:val="pt-PT"/>
        </w:rPr>
        <w:t>05, o PNPB estabelece</w:t>
      </w:r>
      <w:r>
        <w:rPr>
          <w:rFonts w:ascii="Times New Roman" w:hAnsi="Times New Roman" w:cs="Times New Roman"/>
          <w:sz w:val="24"/>
          <w:szCs w:val="24"/>
          <w:lang w:val="pt-PT"/>
        </w:rPr>
        <w:t>u</w:t>
      </w:r>
      <w:r w:rsidRPr="004C5AD3">
        <w:rPr>
          <w:rFonts w:ascii="Times New Roman" w:hAnsi="Times New Roman" w:cs="Times New Roman"/>
          <w:sz w:val="24"/>
          <w:szCs w:val="24"/>
          <w:lang w:val="pt-PT"/>
        </w:rPr>
        <w:t xml:space="preserve"> que</w:t>
      </w:r>
      <w:r>
        <w:rPr>
          <w:rFonts w:ascii="Times New Roman" w:hAnsi="Times New Roman" w:cs="Times New Roman"/>
          <w:sz w:val="24"/>
          <w:szCs w:val="24"/>
          <w:lang w:val="pt-PT"/>
        </w:rPr>
        <w:t xml:space="preserve"> a partir de janeiro de 2008 o diesel mineral deveria ser comercializado com a mistura de 2% de biodiesel, o chamado B2. </w:t>
      </w:r>
      <w:r w:rsidRPr="004C5AD3">
        <w:rPr>
          <w:rFonts w:ascii="Times New Roman" w:hAnsi="Times New Roman" w:cs="Times New Roman"/>
          <w:sz w:val="24"/>
          <w:szCs w:val="24"/>
          <w:lang w:val="pt-PT"/>
        </w:rPr>
        <w:t>Ess</w:t>
      </w:r>
      <w:r>
        <w:rPr>
          <w:rFonts w:ascii="Times New Roman" w:hAnsi="Times New Roman" w:cs="Times New Roman"/>
          <w:sz w:val="24"/>
          <w:szCs w:val="24"/>
          <w:lang w:val="pt-PT"/>
        </w:rPr>
        <w:t>e percentual de biodiesel deveria</w:t>
      </w:r>
      <w:r w:rsidRPr="004C5AD3">
        <w:rPr>
          <w:rFonts w:ascii="Times New Roman" w:hAnsi="Times New Roman" w:cs="Times New Roman"/>
          <w:sz w:val="24"/>
          <w:szCs w:val="24"/>
          <w:lang w:val="pt-PT"/>
        </w:rPr>
        <w:t xml:space="preserve"> aumentar para</w:t>
      </w:r>
      <w:r>
        <w:rPr>
          <w:rFonts w:ascii="Times New Roman" w:hAnsi="Times New Roman" w:cs="Times New Roman"/>
          <w:sz w:val="24"/>
          <w:szCs w:val="24"/>
          <w:lang w:val="pt-PT"/>
        </w:rPr>
        <w:t xml:space="preserve"> 5% a partir de janeiro de 2013, porém houve antecipação da mistura devido à rápida resposta dos agentes para atender à demanda de mistura obrigatória, mediante Resolução do Conselho Nacional de Política Energética (CNPE). </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Apesar de não ser restritivo e permitir a utilização de diversos tipos de óleo, o PNPB oferece incentivos para determinadas matérias-primas e regiões. A fim de promover a inclusão social e o desenvolvimento regional, foi criado o Selo Combustível Social, um instrumento de certificação aos produtores de biodiesel que adquirem matéria-prima de agricultores familiares, em quantidade mínima especificada pelo Ministério de Desenvolvimento Agrário (MDA), celebrando contratos que garantam renda, prazos e </w:t>
      </w:r>
      <w:r>
        <w:rPr>
          <w:rFonts w:ascii="Times New Roman" w:hAnsi="Times New Roman" w:cs="Times New Roman"/>
          <w:sz w:val="24"/>
          <w:szCs w:val="24"/>
          <w:lang w:val="pt-PT"/>
        </w:rPr>
        <w:lastRenderedPageBreak/>
        <w:t xml:space="preserve">assistência compatíveis com a atividade. Com o Selo, os produtores de biodiesel </w:t>
      </w:r>
      <w:r w:rsidR="00D75923">
        <w:rPr>
          <w:rFonts w:ascii="Times New Roman" w:hAnsi="Times New Roman" w:cs="Times New Roman"/>
          <w:sz w:val="24"/>
          <w:szCs w:val="24"/>
          <w:lang w:val="pt-PT"/>
        </w:rPr>
        <w:t>estão sujeitos a</w:t>
      </w:r>
      <w:r>
        <w:rPr>
          <w:rFonts w:ascii="Times New Roman" w:hAnsi="Times New Roman" w:cs="Times New Roman"/>
          <w:sz w:val="24"/>
          <w:szCs w:val="24"/>
          <w:lang w:val="pt-PT"/>
        </w:rPr>
        <w:t xml:space="preserve"> menor tributação de PIS/PASEP e Cofins, de acordo com o tipo de matéria-prima e região, têm acesso a melhores condições de financiamento junto a bancos de desenvolvimento e outras instituições financeiras credenciadas, além de poderem participar dos leilões de biodiesel promovidos pela ANP.</w:t>
      </w:r>
    </w:p>
    <w:p w:rsidR="00715F5B" w:rsidRPr="0035646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No</w:t>
      </w:r>
      <w:r w:rsidRPr="0035646B">
        <w:rPr>
          <w:rFonts w:ascii="Times New Roman" w:hAnsi="Times New Roman" w:cs="Times New Roman"/>
          <w:sz w:val="24"/>
          <w:szCs w:val="24"/>
          <w:lang w:val="pt-PT"/>
        </w:rPr>
        <w:t xml:space="preserve"> que concerne o etanol, existe uma maior preocupação com a garantia de abastecimento do mercado interno, inclusive com a percentagem adicionada à gasolina. Assim, importantes questões acerca da existência de estoques reguladores</w:t>
      </w:r>
      <w:r w:rsidRPr="0035646B">
        <w:rPr>
          <w:rStyle w:val="Refdenotaderodap"/>
          <w:rFonts w:ascii="Times New Roman" w:hAnsi="Times New Roman" w:cs="Times New Roman"/>
          <w:sz w:val="24"/>
          <w:szCs w:val="24"/>
          <w:lang w:val="pt-PT"/>
        </w:rPr>
        <w:footnoteReference w:id="39"/>
      </w:r>
      <w:r w:rsidRPr="0035646B">
        <w:rPr>
          <w:rFonts w:ascii="Times New Roman" w:hAnsi="Times New Roman" w:cs="Times New Roman"/>
          <w:sz w:val="24"/>
          <w:szCs w:val="24"/>
          <w:lang w:val="pt-PT"/>
        </w:rPr>
        <w:t xml:space="preserve"> e de incentivos financeiros para a expansão dos canaviais têm sido levantadas, porém nota-se a ausência de um debate que inclua o desenvolvimento tecnológico como elemento relevante para o atendimento de objetivos de longo prazo da política energética.</w:t>
      </w:r>
    </w:p>
    <w:p w:rsidR="00715F5B" w:rsidRPr="0035646B" w:rsidRDefault="00715F5B" w:rsidP="00715F5B">
      <w:pPr>
        <w:spacing w:line="360" w:lineRule="auto"/>
        <w:ind w:firstLine="708"/>
        <w:rPr>
          <w:rFonts w:ascii="Times New Roman" w:hAnsi="Times New Roman" w:cs="Times New Roman"/>
          <w:sz w:val="24"/>
          <w:szCs w:val="24"/>
          <w:lang w:val="pt-PT"/>
        </w:rPr>
      </w:pPr>
      <w:r w:rsidRPr="0035646B">
        <w:rPr>
          <w:rFonts w:ascii="Times New Roman" w:hAnsi="Times New Roman" w:cs="Times New Roman"/>
          <w:sz w:val="24"/>
          <w:szCs w:val="24"/>
          <w:lang w:val="pt-PT"/>
        </w:rPr>
        <w:t>D</w:t>
      </w:r>
      <w:r>
        <w:rPr>
          <w:rFonts w:ascii="Times New Roman" w:hAnsi="Times New Roman" w:cs="Times New Roman"/>
          <w:sz w:val="24"/>
          <w:szCs w:val="24"/>
          <w:lang w:val="pt-PT"/>
        </w:rPr>
        <w:t>e todo modo, a recente crise</w:t>
      </w:r>
      <w:r w:rsidRPr="0035646B">
        <w:rPr>
          <w:rFonts w:ascii="Times New Roman" w:hAnsi="Times New Roman" w:cs="Times New Roman"/>
          <w:sz w:val="24"/>
          <w:szCs w:val="24"/>
          <w:lang w:val="pt-PT"/>
        </w:rPr>
        <w:t xml:space="preserve"> de abastecimento de etanol foi útil para mostrar que a solução para problemas do setor energético envolve decisões governamentais em várias dimensões. Evidentemente, a regulação por si só não é capaz de atender as demandas da sociedade e objetivos da política energética. As esferas de decisão relevantes encontram-se dispersas entre ministérios, comitês/comissões, órgãos governamentais de apoio a indústria e inovação, além</w:t>
      </w:r>
      <w:r w:rsidR="001A5E3D">
        <w:rPr>
          <w:rFonts w:ascii="Times New Roman" w:hAnsi="Times New Roman" w:cs="Times New Roman"/>
          <w:sz w:val="24"/>
          <w:szCs w:val="24"/>
          <w:lang w:val="pt-PT"/>
        </w:rPr>
        <w:t xml:space="preserve"> do próprio Congresso Nacional, tornando </w:t>
      </w:r>
      <w:r>
        <w:rPr>
          <w:rFonts w:ascii="Times New Roman" w:hAnsi="Times New Roman" w:cs="Times New Roman"/>
          <w:sz w:val="24"/>
          <w:szCs w:val="24"/>
          <w:lang w:val="pt-PT"/>
        </w:rPr>
        <w:t xml:space="preserve">evidente </w:t>
      </w:r>
      <w:r w:rsidRPr="0035646B">
        <w:rPr>
          <w:rFonts w:ascii="Times New Roman" w:hAnsi="Times New Roman" w:cs="Times New Roman"/>
          <w:sz w:val="24"/>
          <w:szCs w:val="24"/>
          <w:lang w:val="pt-PT"/>
        </w:rPr>
        <w:t xml:space="preserve">a necessidade de coordenação entre regulação, políticas públicas </w:t>
      </w:r>
      <w:r>
        <w:rPr>
          <w:rFonts w:ascii="Times New Roman" w:hAnsi="Times New Roman" w:cs="Times New Roman"/>
          <w:sz w:val="24"/>
          <w:szCs w:val="24"/>
          <w:lang w:val="pt-PT"/>
        </w:rPr>
        <w:t>e planejamento energético</w:t>
      </w:r>
      <w:r w:rsidRPr="0035646B">
        <w:rPr>
          <w:rFonts w:ascii="Times New Roman" w:hAnsi="Times New Roman" w:cs="Times New Roman"/>
          <w:sz w:val="24"/>
          <w:szCs w:val="24"/>
          <w:lang w:val="pt-PT"/>
        </w:rPr>
        <w:t xml:space="preserve">. </w:t>
      </w:r>
    </w:p>
    <w:p w:rsidR="00715F5B" w:rsidRDefault="00715F5B" w:rsidP="00715F5B">
      <w:pPr>
        <w:spacing w:line="360" w:lineRule="auto"/>
        <w:rPr>
          <w:rFonts w:ascii="Times New Roman" w:hAnsi="Times New Roman" w:cs="Times New Roman"/>
          <w:sz w:val="24"/>
          <w:szCs w:val="24"/>
          <w:lang w:val="pt-PT"/>
        </w:rPr>
      </w:pPr>
    </w:p>
    <w:p w:rsidR="00715F5B" w:rsidRPr="005457BB" w:rsidRDefault="00715F5B" w:rsidP="00EF5A51">
      <w:pPr>
        <w:pStyle w:val="Ttulo3"/>
      </w:pPr>
      <w:bookmarkStart w:id="122" w:name="_Toc330506322"/>
      <w:bookmarkStart w:id="123" w:name="_Toc333911372"/>
      <w:r>
        <w:t>3.2.2 Os biocombustíveis na política e</w:t>
      </w:r>
      <w:r w:rsidRPr="005457BB">
        <w:t>nergética</w:t>
      </w:r>
      <w:bookmarkEnd w:id="122"/>
      <w:r w:rsidRPr="005457BB">
        <w:t xml:space="preserve"> </w:t>
      </w:r>
      <w:r>
        <w:t>brasileira</w:t>
      </w:r>
      <w:bookmarkEnd w:id="123"/>
    </w:p>
    <w:p w:rsidR="00715F5B" w:rsidRDefault="00715F5B" w:rsidP="00715F5B">
      <w:pPr>
        <w:spacing w:line="360" w:lineRule="auto"/>
        <w:ind w:firstLine="708"/>
        <w:rPr>
          <w:rFonts w:ascii="Times New Roman" w:hAnsi="Times New Roman" w:cs="Times New Roman"/>
          <w:b/>
          <w:sz w:val="24"/>
          <w:szCs w:val="24"/>
          <w:lang w:val="pt-PT"/>
        </w:rPr>
      </w:pPr>
    </w:p>
    <w:p w:rsidR="00715F5B" w:rsidRPr="0035646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No Brasil, o CNPE</w:t>
      </w:r>
      <w:r w:rsidRPr="0035646B">
        <w:rPr>
          <w:rFonts w:ascii="Times New Roman" w:hAnsi="Times New Roman" w:cs="Times New Roman"/>
          <w:sz w:val="24"/>
          <w:szCs w:val="24"/>
          <w:lang w:val="pt-PT"/>
        </w:rPr>
        <w:t xml:space="preserve"> é responsável por assessorar a Presidência da República na formulação de diretrizes e políticas energéticas. Entre seus principais objetivos está a promoção do aproveitamento racional dos recursos energéticos do país, de acordo com a legislação vigente e alguns princípios, como a) preservação do interesse nacional, b) promoção do desenvolvimento sustentado, ampliação do mercado de trabalho e valorização dos recursos energéticos, c) proteção dos direitos do consumidor quanto a preço, qualidade e oferta dos produtos, d) proteção do meio ambiente e promoção da conservação de energia, e) utilização de fontes renováveis de energia, mediante o aproveitamento dos insumos </w:t>
      </w:r>
      <w:r w:rsidRPr="0035646B">
        <w:rPr>
          <w:rFonts w:ascii="Times New Roman" w:hAnsi="Times New Roman" w:cs="Times New Roman"/>
          <w:sz w:val="24"/>
          <w:szCs w:val="24"/>
          <w:lang w:val="pt-PT"/>
        </w:rPr>
        <w:lastRenderedPageBreak/>
        <w:t>disponíveis e das tecnologias aplicáveis, f) promoção da livre concorrência, g) atração de investimento na produção de energia, h) ampliação da competitividade do País no mercado internacional, entre outros</w:t>
      </w:r>
      <w:r w:rsidRPr="0035646B">
        <w:rPr>
          <w:rStyle w:val="Refdenotaderodap"/>
          <w:rFonts w:ascii="Times New Roman" w:hAnsi="Times New Roman" w:cs="Times New Roman"/>
          <w:sz w:val="24"/>
          <w:szCs w:val="24"/>
          <w:lang w:val="pt-PT"/>
        </w:rPr>
        <w:footnoteReference w:id="40"/>
      </w:r>
      <w:r w:rsidRPr="0035646B">
        <w:rPr>
          <w:rFonts w:ascii="Times New Roman" w:hAnsi="Times New Roman" w:cs="Times New Roman"/>
          <w:sz w:val="24"/>
          <w:szCs w:val="24"/>
          <w:lang w:val="pt-PT"/>
        </w:rPr>
        <w:t>.</w:t>
      </w:r>
    </w:p>
    <w:p w:rsidR="00715F5B" w:rsidRPr="0035646B" w:rsidRDefault="00715F5B" w:rsidP="00715F5B">
      <w:pPr>
        <w:spacing w:line="360" w:lineRule="auto"/>
        <w:ind w:firstLine="708"/>
        <w:rPr>
          <w:rFonts w:ascii="Times New Roman" w:hAnsi="Times New Roman" w:cs="Times New Roman"/>
          <w:sz w:val="24"/>
          <w:szCs w:val="24"/>
          <w:lang w:val="pt-PT"/>
        </w:rPr>
      </w:pPr>
      <w:r w:rsidRPr="0035646B">
        <w:rPr>
          <w:rFonts w:ascii="Times New Roman" w:hAnsi="Times New Roman" w:cs="Times New Roman"/>
          <w:sz w:val="24"/>
          <w:szCs w:val="24"/>
          <w:lang w:val="pt-PT"/>
        </w:rPr>
        <w:t>Outros objetivos da política energética incluem a garantia de suprimento de energia a áreas remotas e de difícil acesso do País, a revisão periódica das matrizes energéticas (considerando fontes convencionais e alternativas, bem como tecnologias disponíveis), o estabelecimento de diretrizes para programas específicos como os de energia termonuclear, gás natural, carvão e biomassas.</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Nas previsões do MME, o cenário de consumo de energia primária no Brasil para as próximas décadas é fortemente influencidado pelo ritmo de crescimento da economia considerado no cenário de referência (4,1% a.a. em média), o que demandará um aumento na oferta interna de energia de 65% entre 2005 e 2015, de 34,5% entre 2015 e 2025 e de 17%, entre 2025 e 2030 (EPE, 2007). </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Dado o caráter estratégico que a segurança de abastecimento de energia assume diante dos planos de crescimento e desenvolvimento econômico, uma das tendências mundiais em termos de política energética é a busca por flexibilização na matriz de combustíveis, que está estreitamente relacionada com a redução da dependência e vulnerabilidade energética, isto é, procura-se diminuir a necessidade de se importar energia de poucos fornecedores. Essa flexibilização requer a inclusão de alternativas energéticas que, além de buscar segurança de abastecimento, pretendem contornar o provável esgotamento das fontes baratas de recursos fósseis e podem também ser meios de reduzir os efeitos adversos do consumo energético sobre o aquecimento global.</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A análise das políticas energéticas de países como Estados Unidos, Alemanha, França, Inglaterra, Suécia, China, Índia e Japão revela que, no curto prazo, existe maior preocupação com a segurança de abastecimento, tendo em vista as oscilações nos preços internacionais do petróleo. Já no longo prazo, prevalecem os objetivos de redução dos impactos ambientais, fazendo com que a diversificação da matriz de combustíveis ocorra por meio da introdução de fontes renováveis e de novas tecnologias na produção e no uso de energia (NAE, 2007). </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Poder-se-ia argumentar que, no caso brasileiro, o aumento da disponibili</w:t>
      </w:r>
      <w:r w:rsidR="00FE54DB">
        <w:rPr>
          <w:rFonts w:ascii="Times New Roman" w:hAnsi="Times New Roman" w:cs="Times New Roman"/>
          <w:sz w:val="24"/>
          <w:szCs w:val="24"/>
          <w:lang w:val="pt-PT"/>
        </w:rPr>
        <w:t>d</w:t>
      </w:r>
      <w:r>
        <w:rPr>
          <w:rFonts w:ascii="Times New Roman" w:hAnsi="Times New Roman" w:cs="Times New Roman"/>
          <w:sz w:val="24"/>
          <w:szCs w:val="24"/>
          <w:lang w:val="pt-PT"/>
        </w:rPr>
        <w:t xml:space="preserve">ade de recursos energéticos como os da camada Pré-Sal torna menos relevante essa busca por flexibilização. No entanto, a auto-suficiência na produção de petróleo não reduz a importância dos combustíveis alternativos, uma vez que se trata de uma área estratégica de longo prazo e a </w:t>
      </w:r>
      <w:r>
        <w:rPr>
          <w:rFonts w:ascii="Times New Roman" w:hAnsi="Times New Roman" w:cs="Times New Roman"/>
          <w:sz w:val="24"/>
          <w:szCs w:val="24"/>
          <w:lang w:val="pt-PT"/>
        </w:rPr>
        <w:lastRenderedPageBreak/>
        <w:t xml:space="preserve">auto-suficiência que se verifica no presente pode não ocorrer em um horizonte de trinta anos. Outros aspectos como preços relativos, comportamento da demanda de energia, incluindo elasticidade-preço e elasticidade-renda, e desenvolvimento de novas tecnologias tornam bastante complexas as análises prospectivas nas quais se baseia a política energética. </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A adequação das políticas de incentivo aos biocombustíveis como forma de redução da dependência energética depende também dos preços internacionais do petróleo e do desempenho econômico do país no médio e longo prazo. Conforme indicado no relatório do Núcleo de Assuntos Estratégicos da Presidência da República (NAE, 2007), as políticas de substituição de diesel e gasolina por biocombustíveis podem encontrar problemas de legitimidade, caso o preço do petróleo venha a cair e a economia cresça a um ritmo mais acelerado, o que exigiria um maior esforço orçamentário, seja p</w:t>
      </w:r>
      <w:r w:rsidR="00E33B1F">
        <w:rPr>
          <w:rFonts w:ascii="Times New Roman" w:hAnsi="Times New Roman" w:cs="Times New Roman"/>
          <w:sz w:val="24"/>
          <w:szCs w:val="24"/>
          <w:lang w:val="pt-PT"/>
        </w:rPr>
        <w:t>ara concessão de subsídios ou para</w:t>
      </w:r>
      <w:r>
        <w:rPr>
          <w:rFonts w:ascii="Times New Roman" w:hAnsi="Times New Roman" w:cs="Times New Roman"/>
          <w:sz w:val="24"/>
          <w:szCs w:val="24"/>
          <w:lang w:val="pt-PT"/>
        </w:rPr>
        <w:t xml:space="preserve"> isenção tributária. A existência de tantos elementos complexos adiciona elevada incerteza à formulação da política energética e favorece a diversificação do portfólio energético como forma de redução do risco de </w:t>
      </w:r>
      <w:r w:rsidR="00E33B1F">
        <w:rPr>
          <w:rFonts w:ascii="Times New Roman" w:hAnsi="Times New Roman" w:cs="Times New Roman"/>
          <w:sz w:val="24"/>
          <w:szCs w:val="24"/>
          <w:lang w:val="pt-PT"/>
        </w:rPr>
        <w:t>des</w:t>
      </w:r>
      <w:r>
        <w:rPr>
          <w:rFonts w:ascii="Times New Roman" w:hAnsi="Times New Roman" w:cs="Times New Roman"/>
          <w:sz w:val="24"/>
          <w:szCs w:val="24"/>
          <w:lang w:val="pt-PT"/>
        </w:rPr>
        <w:t>abastecimento.</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No que concerne a participação dos biocombustíveis na matriz energética brasileira, o Plano Decenal de Expansão de Energia (PDE) </w:t>
      </w:r>
      <w:r w:rsidRPr="00B31134">
        <w:rPr>
          <w:rFonts w:ascii="Times New Roman" w:hAnsi="Times New Roman" w:cs="Times New Roman"/>
          <w:sz w:val="24"/>
          <w:szCs w:val="24"/>
          <w:lang w:val="pt-PT"/>
        </w:rPr>
        <w:t>2020</w:t>
      </w:r>
      <w:r>
        <w:rPr>
          <w:rFonts w:ascii="Times New Roman" w:hAnsi="Times New Roman" w:cs="Times New Roman"/>
          <w:sz w:val="24"/>
          <w:szCs w:val="24"/>
          <w:lang w:val="pt-PT"/>
        </w:rPr>
        <w:t>, importante instrumento de planejamento energético e orientador de políticas públicas, aponta para a expansão</w:t>
      </w:r>
      <w:r w:rsidRPr="00B31134">
        <w:rPr>
          <w:rFonts w:ascii="Times New Roman" w:hAnsi="Times New Roman" w:cs="Times New Roman"/>
          <w:sz w:val="24"/>
          <w:szCs w:val="24"/>
          <w:lang w:val="pt-PT"/>
        </w:rPr>
        <w:t xml:space="preserve"> do mercado interno de etanol, impulsionado pelas vendas de veículos </w:t>
      </w:r>
      <w:r w:rsidRPr="00ED4D8C">
        <w:rPr>
          <w:rFonts w:ascii="Times New Roman" w:hAnsi="Times New Roman" w:cs="Times New Roman"/>
          <w:i/>
          <w:sz w:val="24"/>
          <w:szCs w:val="24"/>
          <w:lang w:val="pt-PT"/>
        </w:rPr>
        <w:t>flex fuel</w:t>
      </w:r>
      <w:r w:rsidRPr="00B31134">
        <w:rPr>
          <w:rFonts w:ascii="Times New Roman" w:hAnsi="Times New Roman" w:cs="Times New Roman"/>
          <w:sz w:val="24"/>
          <w:szCs w:val="24"/>
          <w:lang w:val="pt-PT"/>
        </w:rPr>
        <w:t xml:space="preserve">, apesar da </w:t>
      </w:r>
      <w:r>
        <w:rPr>
          <w:rFonts w:ascii="Times New Roman" w:hAnsi="Times New Roman" w:cs="Times New Roman"/>
          <w:sz w:val="24"/>
          <w:szCs w:val="24"/>
          <w:lang w:val="pt-PT"/>
        </w:rPr>
        <w:t>restrição de oferta</w:t>
      </w:r>
      <w:r w:rsidRPr="00B31134">
        <w:rPr>
          <w:rFonts w:ascii="Times New Roman" w:hAnsi="Times New Roman" w:cs="Times New Roman"/>
          <w:sz w:val="24"/>
          <w:szCs w:val="24"/>
          <w:lang w:val="pt-PT"/>
        </w:rPr>
        <w:t xml:space="preserve"> </w:t>
      </w:r>
      <w:r>
        <w:rPr>
          <w:rFonts w:ascii="Times New Roman" w:hAnsi="Times New Roman" w:cs="Times New Roman"/>
          <w:sz w:val="24"/>
          <w:szCs w:val="24"/>
          <w:lang w:val="pt-PT"/>
        </w:rPr>
        <w:t>ocorrida no último triênio. De acordo com as projeções da Empresa de Pesquisa Energética (EPE)</w:t>
      </w:r>
      <w:r>
        <w:rPr>
          <w:rStyle w:val="Refdenotaderodap"/>
          <w:rFonts w:ascii="Times New Roman" w:hAnsi="Times New Roman" w:cs="Times New Roman"/>
          <w:sz w:val="24"/>
          <w:szCs w:val="24"/>
          <w:lang w:val="pt-PT"/>
        </w:rPr>
        <w:footnoteReference w:id="41"/>
      </w:r>
      <w:r>
        <w:rPr>
          <w:rFonts w:ascii="Times New Roman" w:hAnsi="Times New Roman" w:cs="Times New Roman"/>
          <w:sz w:val="24"/>
          <w:szCs w:val="24"/>
          <w:lang w:val="pt-PT"/>
        </w:rPr>
        <w:t xml:space="preserve">, a demanda por etanol passa de 23,7 bilhões de litros em 2011 para 63,1 bilhões de litros em 2020. </w:t>
      </w:r>
    </w:p>
    <w:p w:rsidR="00651243" w:rsidRDefault="007261B4"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Com base nessas projeções, </w:t>
      </w:r>
      <w:r w:rsidR="00651243">
        <w:rPr>
          <w:rFonts w:ascii="Times New Roman" w:hAnsi="Times New Roman" w:cs="Times New Roman"/>
          <w:sz w:val="24"/>
          <w:szCs w:val="24"/>
          <w:lang w:val="pt-PT"/>
        </w:rPr>
        <w:t>Milanez et al. (2012) calculam as necessidades de expansão da cana-de-açúcar para atender plenamen</w:t>
      </w:r>
      <w:r>
        <w:rPr>
          <w:rFonts w:ascii="Times New Roman" w:hAnsi="Times New Roman" w:cs="Times New Roman"/>
          <w:sz w:val="24"/>
          <w:szCs w:val="24"/>
          <w:lang w:val="pt-PT"/>
        </w:rPr>
        <w:t>te à demanda potencial até 2015</w:t>
      </w:r>
      <w:r w:rsidR="00651243">
        <w:rPr>
          <w:rFonts w:ascii="Times New Roman" w:hAnsi="Times New Roman" w:cs="Times New Roman"/>
          <w:sz w:val="24"/>
          <w:szCs w:val="24"/>
          <w:lang w:val="pt-PT"/>
        </w:rPr>
        <w:t>. De 2011 a 2015, seria necessário adicionar 246,3 milhões de toneladas de cana direcionadas somente à produção de etanol. Em termo</w:t>
      </w:r>
      <w:r>
        <w:rPr>
          <w:rFonts w:ascii="Times New Roman" w:hAnsi="Times New Roman" w:cs="Times New Roman"/>
          <w:sz w:val="24"/>
          <w:szCs w:val="24"/>
          <w:lang w:val="pt-PT"/>
        </w:rPr>
        <w:t>s financeiros, esse esforço corresponde a R$ 85 bilhões, dos quais apenas R$ 30 bilhões estão planejados pelo setor. Com isso, os autores constatam que o déficit de produção acumulado deverá atingir 32 bilhões de litros no período analisado.</w:t>
      </w:r>
    </w:p>
    <w:p w:rsidR="0059240F" w:rsidRDefault="0059240F" w:rsidP="0059240F">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Nesse sentido, para que a demanda seja atendida, vê-se a retomada dos investimentos em toda a cadeia produtiva que foram reduzidos nos últimos quatro anos como condição primordial, sendo que o foco dos investimentos apontados pelo documento do MME incluem tanto o aumento da área de plantio de cana-de-açúcar, como a aplicação de novas tecnologias. </w:t>
      </w:r>
    </w:p>
    <w:p w:rsidR="0059240F" w:rsidRDefault="0059240F" w:rsidP="0059240F">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lastRenderedPageBreak/>
        <w:t>As novas tecnologias previstas para o setor de etanol, contudo, se restringem à elevação da produtividade agrícola e da eficiência industrial, principalmente no processo de fermentação. O PDE 2020 não trata de tecnologias de produção de biocombustíveis avançados, como a hidrólise enzimática, por exemplo.</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Já com relação ao biodiesel, o relatório não vislumbra outro insumo que possa substituir o óleo de soja dentro do horizonte de análise. O Propalma, programa lançado pelo governo federal em 2010 para produção sustentável do óleo de palma, é mencionado como um propulsor dessa matéria-prima, porém só deve resultar em volumes significativos de óleo após 2020. A projeção de oferta de biodiesel para 2020 se baseia no número de usinas que já possuem autorização para comercialização, operação e aquelas já autorizadas para construção, ao passo que a previsão de consumo deste biocombustível supõe a manutenção do percentual de mistura obrigatória de 5% até 2020 aplicada sobre as estimativas de consumo de óleo diesel no país. O documento não trata de novas rotas tecnológicas para a produção de biocombustíveis. </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O</w:t>
      </w:r>
      <w:r w:rsidRPr="002B0A5F">
        <w:rPr>
          <w:rFonts w:ascii="Times New Roman" w:hAnsi="Times New Roman" w:cs="Times New Roman"/>
          <w:sz w:val="24"/>
          <w:szCs w:val="24"/>
          <w:lang w:val="pt-PT"/>
        </w:rPr>
        <w:t xml:space="preserve"> Plano Nacional de Energia para 2030</w:t>
      </w:r>
      <w:r>
        <w:rPr>
          <w:rFonts w:ascii="Times New Roman" w:hAnsi="Times New Roman" w:cs="Times New Roman"/>
          <w:sz w:val="24"/>
          <w:szCs w:val="24"/>
          <w:lang w:val="pt-PT"/>
        </w:rPr>
        <w:t xml:space="preserve"> pode ser considerado a principal referência quando </w:t>
      </w:r>
      <w:r w:rsidR="005267C7">
        <w:rPr>
          <w:rFonts w:ascii="Times New Roman" w:hAnsi="Times New Roman" w:cs="Times New Roman"/>
          <w:sz w:val="24"/>
          <w:szCs w:val="24"/>
          <w:lang w:val="pt-PT"/>
        </w:rPr>
        <w:t>se trata</w:t>
      </w:r>
      <w:r>
        <w:rPr>
          <w:rFonts w:ascii="Times New Roman" w:hAnsi="Times New Roman" w:cs="Times New Roman"/>
          <w:sz w:val="24"/>
          <w:szCs w:val="24"/>
          <w:lang w:val="pt-PT"/>
        </w:rPr>
        <w:t xml:space="preserve"> de política energética no Brasil, dado que tem como objetivo o planejamento energético de longo prazo, servindo como um orientador de tendências e de alternativas de expansão no setor de energia. O PNE 2030 </w:t>
      </w:r>
      <w:r w:rsidRPr="002B0A5F">
        <w:rPr>
          <w:rFonts w:ascii="Times New Roman" w:hAnsi="Times New Roman" w:cs="Times New Roman"/>
          <w:sz w:val="24"/>
          <w:szCs w:val="24"/>
          <w:lang w:val="pt-PT"/>
        </w:rPr>
        <w:t>prevê uma matriz energética caracterizada pela manutenção dos derivados de petróleo no setor de transportes, devido à necessidade de rápida expansão da oferta para atender ao elevado crescimento da demanda observado nas últimas décadas.</w:t>
      </w:r>
      <w:r>
        <w:rPr>
          <w:rFonts w:ascii="Times New Roman" w:hAnsi="Times New Roman" w:cs="Times New Roman"/>
          <w:sz w:val="24"/>
          <w:szCs w:val="24"/>
          <w:lang w:val="pt-PT"/>
        </w:rPr>
        <w:t xml:space="preserve"> Apesar disso, apresenta duas seções dedicadas a tendências do desenvolvimento tecnológico em combustíveis líquidos e perspectivas de oferta de combustíveis líquidos a partir de biomassa no longo prazo. </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Dentre as alternativas para combustíveis no setor de transportes, encontram-se as células a combustível, o hidrogênio (obtido a partir do gás natural ou fontes renováveis), os combustíveis sintéticos e os biocombustíveis, que atualmente são os que apresentam maior competitividade. </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Outros órgãos governamentais, como o BNDES, também destacam a importância estratégica que têm os biocombustíveis na transição para uma matriz energética com fontes diversificadas, afirmando que entre as fontes energéticas renováveis, apenas os biocombustíveis oferecem uma alternativa consistente para os derivados do petróleo</w:t>
      </w:r>
      <w:r>
        <w:rPr>
          <w:rStyle w:val="Refdenotaderodap"/>
          <w:rFonts w:ascii="Times New Roman" w:hAnsi="Times New Roman" w:cs="Times New Roman"/>
          <w:sz w:val="24"/>
          <w:szCs w:val="24"/>
          <w:lang w:val="pt-PT"/>
        </w:rPr>
        <w:footnoteReference w:id="42"/>
      </w:r>
      <w:r>
        <w:rPr>
          <w:rFonts w:ascii="Times New Roman" w:hAnsi="Times New Roman" w:cs="Times New Roman"/>
          <w:sz w:val="24"/>
          <w:szCs w:val="24"/>
          <w:lang w:val="pt-PT"/>
        </w:rPr>
        <w:t>.</w:t>
      </w:r>
      <w:r w:rsidRPr="00AF1132">
        <w:rPr>
          <w:rFonts w:ascii="Times New Roman" w:hAnsi="Times New Roman" w:cs="Times New Roman"/>
          <w:sz w:val="24"/>
          <w:szCs w:val="24"/>
          <w:lang w:val="pt-PT"/>
        </w:rPr>
        <w:t xml:space="preserve"> </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lastRenderedPageBreak/>
        <w:t>Todavia, se eles vierem a ter maior participação na matriz de transportes, o desenvolvimento dos chamados biocombustíveis avançados será crucial, especialmente devido aos impactos sobre o uso da terra e os preços dos alimentos. Isso explica o espaço dedicado à discussão de novas tecnologias para o aproveitamento energético da biomassa no PNE 2030.</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O documento divulgado pelo MME</w:t>
      </w:r>
      <w:r>
        <w:rPr>
          <w:rStyle w:val="Refdenotaderodap"/>
          <w:rFonts w:ascii="Times New Roman" w:hAnsi="Times New Roman" w:cs="Times New Roman"/>
          <w:sz w:val="24"/>
          <w:szCs w:val="24"/>
          <w:lang w:val="pt-PT"/>
        </w:rPr>
        <w:footnoteReference w:id="43"/>
      </w:r>
      <w:r>
        <w:rPr>
          <w:rFonts w:ascii="Times New Roman" w:hAnsi="Times New Roman" w:cs="Times New Roman"/>
          <w:sz w:val="24"/>
          <w:szCs w:val="24"/>
          <w:lang w:val="pt-PT"/>
        </w:rPr>
        <w:t xml:space="preserve"> explora em detalhes os processos de conversão e rotas tecnológicas para produção de biocombustíveis avançados, como a termoquímica, bioquímica, físico-química, os combustíveis sintéticos obtidos por gaseificação ou pirólise, a produção de etanol celulósico, além de tratar sobre as biorrefinarias. </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As previsões para 2030 do MME revelam uma participação na oferta interna de energia de 18% para os produtos derivados da cana e de 7% para o biodiesel, sem considerar grandes inovações tecnológi</w:t>
      </w:r>
      <w:r w:rsidR="00DE174C">
        <w:rPr>
          <w:rFonts w:ascii="Times New Roman" w:hAnsi="Times New Roman" w:cs="Times New Roman"/>
          <w:sz w:val="24"/>
          <w:szCs w:val="24"/>
          <w:lang w:val="pt-PT"/>
        </w:rPr>
        <w:t>cas para o segundo segmento, mas</w:t>
      </w:r>
      <w:r>
        <w:rPr>
          <w:rFonts w:ascii="Times New Roman" w:hAnsi="Times New Roman" w:cs="Times New Roman"/>
          <w:sz w:val="24"/>
          <w:szCs w:val="24"/>
          <w:lang w:val="pt-PT"/>
        </w:rPr>
        <w:t xml:space="preserve"> considerando a introdução do etanol celulósico em escala comercial no primeiro. Estima-se que a produção de etanol alcançará os 62 bilhões de litros</w:t>
      </w:r>
      <w:r>
        <w:rPr>
          <w:rStyle w:val="Refdenotaderodap"/>
          <w:rFonts w:ascii="Times New Roman" w:hAnsi="Times New Roman" w:cs="Times New Roman"/>
          <w:sz w:val="24"/>
          <w:szCs w:val="24"/>
          <w:lang w:val="pt-PT"/>
        </w:rPr>
        <w:footnoteReference w:id="44"/>
      </w:r>
      <w:r>
        <w:rPr>
          <w:rFonts w:ascii="Times New Roman" w:hAnsi="Times New Roman" w:cs="Times New Roman"/>
          <w:sz w:val="24"/>
          <w:szCs w:val="24"/>
          <w:lang w:val="pt-PT"/>
        </w:rPr>
        <w:t>, sendo que 7 bilhões destes serão processados a partir de material celulósico. Vale a pena mencionar que o estudo presume que a introdução de veículos elétricos se restringe a uma fração pequena do número de veículos importados, tendo influência quase nula sobre a matriz brasileira de combustíveis no longo prazo.</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O relatório Matriz Energética Nacional 2030, outro importante instrumento de política energética, reconhece que a perspectiva e consolidação da tecnologia </w:t>
      </w:r>
      <w:r w:rsidRPr="00B46352">
        <w:rPr>
          <w:rFonts w:ascii="Times New Roman" w:hAnsi="Times New Roman" w:cs="Times New Roman"/>
          <w:i/>
          <w:sz w:val="24"/>
          <w:szCs w:val="24"/>
          <w:lang w:val="pt-PT"/>
        </w:rPr>
        <w:t>flex fuel</w:t>
      </w:r>
      <w:r>
        <w:rPr>
          <w:rFonts w:ascii="Times New Roman" w:hAnsi="Times New Roman" w:cs="Times New Roman"/>
          <w:sz w:val="24"/>
          <w:szCs w:val="24"/>
          <w:lang w:val="pt-PT"/>
        </w:rPr>
        <w:t xml:space="preserve"> é incerta, podendo ser revertida em função das estratégia</w:t>
      </w:r>
      <w:r w:rsidR="004D2E0D">
        <w:rPr>
          <w:rFonts w:ascii="Times New Roman" w:hAnsi="Times New Roman" w:cs="Times New Roman"/>
          <w:sz w:val="24"/>
          <w:szCs w:val="24"/>
          <w:lang w:val="pt-PT"/>
        </w:rPr>
        <w:t>s da indústria automobilística em</w:t>
      </w:r>
      <w:r>
        <w:rPr>
          <w:rFonts w:ascii="Times New Roman" w:hAnsi="Times New Roman" w:cs="Times New Roman"/>
          <w:sz w:val="24"/>
          <w:szCs w:val="24"/>
          <w:lang w:val="pt-PT"/>
        </w:rPr>
        <w:t xml:space="preserve"> nível mundial, mas adota a consolidação da mesma como premissa, sob a justificativa de que o país tem uma posição destacada na produção mundial de biocombustíveis, de que estes proporcionam flexibilidade ao consumidor e de que há convergência de rendimento dos motores </w:t>
      </w:r>
      <w:r w:rsidRPr="004B68B0">
        <w:rPr>
          <w:rFonts w:ascii="Times New Roman" w:hAnsi="Times New Roman" w:cs="Times New Roman"/>
          <w:i/>
          <w:sz w:val="24"/>
          <w:szCs w:val="24"/>
          <w:lang w:val="pt-PT"/>
        </w:rPr>
        <w:t>flex</w:t>
      </w:r>
      <w:r>
        <w:rPr>
          <w:rFonts w:ascii="Times New Roman" w:hAnsi="Times New Roman" w:cs="Times New Roman"/>
          <w:sz w:val="24"/>
          <w:szCs w:val="24"/>
          <w:lang w:val="pt-PT"/>
        </w:rPr>
        <w:t xml:space="preserve"> com o de motores dedicados.</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Um ponto interessante levantado pelo relatório tem a ver com a distinção da matriz energética brasileira em relação a outros países, dada a ampla participação das energias renováveis, dominadas pela hidroeletricidade primeiramente e intensificada com a introdução do etanol como combustível veicular. </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Atualmente, o potencial hidráulico e sua atratividade econômica continuam fazendo com que a energia hidrelétrica seja a opção que apresenta condições mais favoráveis à produção d</w:t>
      </w:r>
      <w:r w:rsidR="00241D8A">
        <w:rPr>
          <w:rFonts w:ascii="Times New Roman" w:hAnsi="Times New Roman" w:cs="Times New Roman"/>
          <w:sz w:val="24"/>
          <w:szCs w:val="24"/>
          <w:lang w:val="pt-PT"/>
        </w:rPr>
        <w:t>e energia de base, porém é possí</w:t>
      </w:r>
      <w:r>
        <w:rPr>
          <w:rFonts w:ascii="Times New Roman" w:hAnsi="Times New Roman" w:cs="Times New Roman"/>
          <w:sz w:val="24"/>
          <w:szCs w:val="24"/>
          <w:lang w:val="pt-PT"/>
        </w:rPr>
        <w:t xml:space="preserve">vel que após 2020, o potencial hidrelétrico aproveitável já tenha se esgotado. Isso exige que o país esteja preparado para uma futura </w:t>
      </w:r>
      <w:r>
        <w:rPr>
          <w:rFonts w:ascii="Times New Roman" w:hAnsi="Times New Roman" w:cs="Times New Roman"/>
          <w:sz w:val="24"/>
          <w:szCs w:val="24"/>
          <w:lang w:val="pt-PT"/>
        </w:rPr>
        <w:lastRenderedPageBreak/>
        <w:t>expansão da oferta de energia baseada na introdução de fontes renováveis, além de usinas termelétricas que utilizem diferentes insumos energéticos, de preferência também renováveis, como a biomassa, em contraste com a expansão predominantemente hidrelétrica, como a que ocorreu nas últimas quatro décadas. Nesse sentido, fica evidenciada a importância que as biorrefinarias poderão assumir na matriz energética com as unidades de cogeração.</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Considerando o que foi exposto, é possível notar que o governo claramente conta com o aumento da produção e participação dos biocombustíveis na matriz de transportes, e ainda com a cogeração na oferta de energia elétrica, apesar de não especificarem que parte considerável desse incremento poderá vir de inovações nas rotas de conversão de biomassa de produtividade superior. A única exceção é o etanol celulósico, que ganha atenção nas projeções do PNE 2030. </w:t>
      </w:r>
    </w:p>
    <w:p w:rsidR="00715F5B" w:rsidRPr="00CA1DF6" w:rsidRDefault="005267C7"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Será visto</w:t>
      </w:r>
      <w:r w:rsidR="00715F5B" w:rsidRPr="00CA1DF6">
        <w:rPr>
          <w:rFonts w:ascii="Times New Roman" w:hAnsi="Times New Roman" w:cs="Times New Roman"/>
          <w:sz w:val="24"/>
          <w:szCs w:val="24"/>
          <w:lang w:val="pt-PT"/>
        </w:rPr>
        <w:t xml:space="preserve"> na próxima seção de que forma a política industrial está formatada para que os objetivos de política energética sejam atingidos.</w:t>
      </w:r>
    </w:p>
    <w:p w:rsidR="00715F5B" w:rsidRDefault="00715F5B" w:rsidP="00715F5B">
      <w:pPr>
        <w:spacing w:line="360" w:lineRule="auto"/>
        <w:rPr>
          <w:rFonts w:ascii="Times New Roman" w:hAnsi="Times New Roman" w:cs="Times New Roman"/>
          <w:b/>
          <w:sz w:val="24"/>
          <w:szCs w:val="24"/>
          <w:lang w:val="pt-PT"/>
        </w:rPr>
      </w:pPr>
    </w:p>
    <w:p w:rsidR="00715F5B" w:rsidRPr="005457BB" w:rsidRDefault="00715F5B" w:rsidP="00EF5A51">
      <w:pPr>
        <w:pStyle w:val="Ttulo3"/>
      </w:pPr>
      <w:bookmarkStart w:id="124" w:name="_Toc330506323"/>
      <w:bookmarkStart w:id="125" w:name="_Toc333911373"/>
      <w:r>
        <w:t>3.2.3 Os biocombustíveis e a política i</w:t>
      </w:r>
      <w:r w:rsidRPr="005457BB">
        <w:t xml:space="preserve">ndustrial </w:t>
      </w:r>
      <w:bookmarkEnd w:id="124"/>
      <w:r>
        <w:t>brasileira</w:t>
      </w:r>
      <w:bookmarkEnd w:id="125"/>
    </w:p>
    <w:p w:rsidR="00715F5B" w:rsidRDefault="00715F5B" w:rsidP="00715F5B">
      <w:pPr>
        <w:spacing w:line="360" w:lineRule="auto"/>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A discussão acerca da importância de políticas industriais sobre o crescimento e desenvolvimento econômico não poderia ser feita em espaço tão curto, como o que se pretende dedicar neste trabal</w:t>
      </w:r>
      <w:r w:rsidR="004F6C65">
        <w:rPr>
          <w:rFonts w:ascii="Times New Roman" w:hAnsi="Times New Roman" w:cs="Times New Roman"/>
          <w:sz w:val="24"/>
          <w:szCs w:val="24"/>
          <w:lang w:val="pt-PT"/>
        </w:rPr>
        <w:t>ho. Serão feitos</w:t>
      </w:r>
      <w:r>
        <w:rPr>
          <w:rFonts w:ascii="Times New Roman" w:hAnsi="Times New Roman" w:cs="Times New Roman"/>
          <w:sz w:val="24"/>
          <w:szCs w:val="24"/>
          <w:lang w:val="pt-PT"/>
        </w:rPr>
        <w:t xml:space="preserve"> aqui apenas alguns comentários importantes sobre o conceito de política industrial e outras informações relevantes para contextualizar as medidas de apoio governamental à produção de biocombustíveis dentro da recente política industrial brasileira.</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Em primeiro lugar, apesar de as respostas serem muito diferentes, em termos objetivos, a pergunta fundamental da política industrial se refere sempre ao que produzir, ao que exportar e ao que importar (KUPFER, 2012). No entanto, a introdução de elementos novos como a necessidade de redução de desigualdades regionais, preservação do meio ambiente, surgimento de setores industriais novos e competitivos em países em desenvolvimento, segurança nacional e os próprios efeitos adversos da crise financeira internacional, traz um pouco mais de complexidade a essa pergunta e explica por que a política industrial tem ganhado destaque nas agendas de política, tanto no setor público, como no setor privado. </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Tambem é preciso enfatizar que, em teoria, o foco da política industrial se dá sobre a dinâmica de setores-chave com o objetivo de promover transformações qualitativas na estrutura produtiva. Conforme descreve Kupfer (2003), à esse tipo de intervenção cabe </w:t>
      </w:r>
      <w:r>
        <w:rPr>
          <w:rFonts w:ascii="Times New Roman" w:hAnsi="Times New Roman" w:cs="Times New Roman"/>
          <w:sz w:val="24"/>
          <w:szCs w:val="24"/>
          <w:lang w:val="pt-PT"/>
        </w:rPr>
        <w:lastRenderedPageBreak/>
        <w:t xml:space="preserve">acelerar os processos de transformação produtiva que poderiam ser conduzidos pelo mercado em ritmo mais lento, ou mesmo colocar em prática processos que as forças de mercado por si só não são capazes de articular. </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Esse vínculo com uma </w:t>
      </w:r>
      <w:r w:rsidRPr="00F407C7">
        <w:rPr>
          <w:rFonts w:ascii="Times New Roman" w:hAnsi="Times New Roman" w:cs="Times New Roman"/>
          <w:i/>
          <w:sz w:val="24"/>
          <w:szCs w:val="24"/>
          <w:lang w:val="pt-PT"/>
        </w:rPr>
        <w:t>mudança estrutural</w:t>
      </w:r>
      <w:r>
        <w:rPr>
          <w:rFonts w:ascii="Times New Roman" w:hAnsi="Times New Roman" w:cs="Times New Roman"/>
          <w:sz w:val="24"/>
          <w:szCs w:val="24"/>
          <w:lang w:val="pt-PT"/>
        </w:rPr>
        <w:t xml:space="preserve"> da economia nos permite afirmar que “a política industrial está na raiz do papel do Estado na dinâmica econômica de longo prazo, diferenciando-se, deste modo, de outras dimensões de intervenção pública que, em conjunto, são associadas aos padrões nacionais de desenvolvimento” (GADELHA, 2001, p. 153). </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Considerando a existência de diferentes concepções de política industrial, a definição sugerida por Gadelha (2001</w:t>
      </w:r>
      <w:r w:rsidRPr="00BA5D91">
        <w:rPr>
          <w:rFonts w:ascii="Times New Roman" w:hAnsi="Times New Roman" w:cs="Times New Roman"/>
          <w:sz w:val="24"/>
          <w:szCs w:val="24"/>
          <w:lang w:val="pt-PT"/>
        </w:rPr>
        <w:t>)</w:t>
      </w:r>
      <w:r>
        <w:rPr>
          <w:rFonts w:ascii="Times New Roman" w:hAnsi="Times New Roman" w:cs="Times New Roman"/>
          <w:sz w:val="24"/>
          <w:szCs w:val="24"/>
          <w:lang w:val="pt-PT"/>
        </w:rPr>
        <w:t xml:space="preserve">, que desenvolve um conceito neo-schumpeteriano de política industrial, no qual a dinâmica da estrutura produtiva da indústria assume um papel central na análise sistêmica do desenvolvimento das economias nacionais, encontra correspondência na base de sustentação teórica apresentada no primeiro capítulo. Desse modo, ele define a política industrial como a: </w:t>
      </w:r>
    </w:p>
    <w:p w:rsidR="00715F5B" w:rsidRPr="00DB2917" w:rsidRDefault="00715F5B" w:rsidP="00715F5B">
      <w:pPr>
        <w:ind w:firstLine="708"/>
        <w:rPr>
          <w:rFonts w:ascii="Times New Roman" w:hAnsi="Times New Roman" w:cs="Times New Roman"/>
          <w:sz w:val="24"/>
          <w:szCs w:val="24"/>
          <w:lang w:val="pt-PT"/>
        </w:rPr>
      </w:pPr>
    </w:p>
    <w:p w:rsidR="00715F5B" w:rsidRPr="00EF6CE7" w:rsidRDefault="00715F5B" w:rsidP="00715F5B">
      <w:pPr>
        <w:ind w:left="2268"/>
        <w:rPr>
          <w:rFonts w:ascii="Times New Roman" w:hAnsi="Times New Roman" w:cs="Times New Roman"/>
          <w:sz w:val="24"/>
          <w:szCs w:val="24"/>
          <w:lang w:val="pt-PT"/>
        </w:rPr>
      </w:pPr>
      <w:r>
        <w:rPr>
          <w:rFonts w:ascii="Times New Roman" w:hAnsi="Times New Roman" w:cs="Times New Roman"/>
          <w:lang w:val="pt-PT"/>
        </w:rPr>
        <w:t>[...] i</w:t>
      </w:r>
      <w:r w:rsidRPr="006847B0">
        <w:rPr>
          <w:rFonts w:ascii="Times New Roman" w:hAnsi="Times New Roman" w:cs="Times New Roman"/>
          <w:lang w:val="pt-PT"/>
        </w:rPr>
        <w:t>ntervenção pública na dinâmica de inovações da indústria, visando promover transformações qualitativas na estrutura produtiva e o desenvolvimento das economias nacionais, mediante ações sistêmicas que alteram, seletivamente, os ambientes competitivos que formam as estratégias empr</w:t>
      </w:r>
      <w:r>
        <w:rPr>
          <w:rFonts w:ascii="Times New Roman" w:hAnsi="Times New Roman" w:cs="Times New Roman"/>
          <w:lang w:val="pt-PT"/>
        </w:rPr>
        <w:t>esariais (GADELHA, 2001, p. 161)</w:t>
      </w:r>
      <w:r w:rsidRPr="006847B0">
        <w:rPr>
          <w:rFonts w:ascii="Times New Roman" w:hAnsi="Times New Roman" w:cs="Times New Roman"/>
          <w:lang w:val="pt-PT"/>
        </w:rPr>
        <w:t>.</w:t>
      </w:r>
    </w:p>
    <w:p w:rsidR="00715F5B" w:rsidRPr="00EF6CE7" w:rsidRDefault="00715F5B" w:rsidP="00715F5B">
      <w:pPr>
        <w:ind w:left="1416"/>
        <w:rPr>
          <w:rFonts w:ascii="Times New Roman" w:hAnsi="Times New Roman" w:cs="Times New Roman"/>
          <w:lang w:val="pt-PT"/>
        </w:rPr>
      </w:pP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Esse foco da intervenção estatal sobre o ambiente econômico é sustentado por três pressupostos básicos: o primeiro de que a empresa privada é o agente da dinâmica econômica baseada em inovações; o segundo de que as estratégias empresariais de inovação são fortemente influenciadas pelas condições do ambiente institucional em que estão inseridas; e, por último, de que o Estado tem o poder de transformar esse ambiente, propiciando condições mais ou menos favoráveis ao comportamento inovador. </w:t>
      </w:r>
    </w:p>
    <w:p w:rsidR="00715F5B" w:rsidRDefault="00715F5B" w:rsidP="00715F5B">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softHyphen/>
      </w:r>
      <w:r>
        <w:rPr>
          <w:rFonts w:ascii="Times New Roman" w:hAnsi="Times New Roman" w:cs="Times New Roman"/>
          <w:sz w:val="24"/>
          <w:szCs w:val="24"/>
          <w:lang w:val="pt-PT"/>
        </w:rPr>
        <w:softHyphen/>
      </w:r>
      <w:r>
        <w:rPr>
          <w:rFonts w:ascii="Times New Roman" w:hAnsi="Times New Roman" w:cs="Times New Roman"/>
          <w:sz w:val="24"/>
          <w:szCs w:val="24"/>
          <w:lang w:val="pt-PT"/>
        </w:rPr>
        <w:softHyphen/>
      </w:r>
      <w:r>
        <w:rPr>
          <w:rFonts w:ascii="Times New Roman" w:hAnsi="Times New Roman" w:cs="Times New Roman"/>
          <w:sz w:val="24"/>
          <w:szCs w:val="24"/>
          <w:lang w:val="pt-PT"/>
        </w:rPr>
        <w:softHyphen/>
      </w:r>
      <w:r>
        <w:rPr>
          <w:rFonts w:ascii="Times New Roman" w:hAnsi="Times New Roman" w:cs="Times New Roman"/>
          <w:sz w:val="24"/>
          <w:szCs w:val="24"/>
          <w:lang w:val="pt-PT"/>
        </w:rPr>
        <w:softHyphen/>
      </w:r>
      <w:r>
        <w:rPr>
          <w:rFonts w:ascii="Times New Roman" w:hAnsi="Times New Roman" w:cs="Times New Roman"/>
          <w:sz w:val="24"/>
          <w:szCs w:val="24"/>
          <w:lang w:val="pt-PT"/>
        </w:rPr>
        <w:softHyphen/>
      </w:r>
      <w:r>
        <w:rPr>
          <w:rFonts w:ascii="Times New Roman" w:hAnsi="Times New Roman" w:cs="Times New Roman"/>
          <w:sz w:val="24"/>
          <w:szCs w:val="24"/>
          <w:lang w:val="pt-PT"/>
        </w:rPr>
        <w:softHyphen/>
      </w:r>
      <w:r>
        <w:rPr>
          <w:rFonts w:ascii="Times New Roman" w:hAnsi="Times New Roman" w:cs="Times New Roman"/>
          <w:sz w:val="24"/>
          <w:szCs w:val="24"/>
          <w:lang w:val="pt-PT"/>
        </w:rPr>
        <w:softHyphen/>
      </w:r>
      <w:r>
        <w:rPr>
          <w:rFonts w:ascii="Times New Roman" w:hAnsi="Times New Roman" w:cs="Times New Roman"/>
          <w:sz w:val="24"/>
          <w:szCs w:val="24"/>
          <w:lang w:val="pt-PT"/>
        </w:rPr>
        <w:softHyphen/>
      </w:r>
      <w:r>
        <w:rPr>
          <w:rFonts w:ascii="Times New Roman" w:hAnsi="Times New Roman" w:cs="Times New Roman"/>
          <w:sz w:val="24"/>
          <w:szCs w:val="24"/>
          <w:lang w:val="pt-PT"/>
        </w:rPr>
        <w:softHyphen/>
      </w:r>
      <w:r>
        <w:rPr>
          <w:rFonts w:ascii="Times New Roman" w:hAnsi="Times New Roman" w:cs="Times New Roman"/>
          <w:sz w:val="24"/>
          <w:szCs w:val="24"/>
          <w:lang w:val="pt-PT"/>
        </w:rPr>
        <w:softHyphen/>
      </w:r>
      <w:r>
        <w:rPr>
          <w:rFonts w:ascii="Times New Roman" w:hAnsi="Times New Roman" w:cs="Times New Roman"/>
          <w:sz w:val="24"/>
          <w:szCs w:val="24"/>
          <w:lang w:val="pt-PT"/>
        </w:rPr>
        <w:softHyphen/>
      </w:r>
      <w:r>
        <w:rPr>
          <w:rFonts w:ascii="Times New Roman" w:hAnsi="Times New Roman" w:cs="Times New Roman"/>
          <w:sz w:val="24"/>
          <w:szCs w:val="24"/>
          <w:lang w:val="pt-PT"/>
        </w:rPr>
        <w:softHyphen/>
      </w:r>
      <w:r>
        <w:rPr>
          <w:rFonts w:ascii="Times New Roman" w:hAnsi="Times New Roman" w:cs="Times New Roman"/>
          <w:sz w:val="24"/>
          <w:szCs w:val="24"/>
          <w:lang w:val="pt-PT"/>
        </w:rPr>
        <w:softHyphen/>
      </w:r>
      <w:r>
        <w:rPr>
          <w:rFonts w:ascii="Times New Roman" w:hAnsi="Times New Roman" w:cs="Times New Roman"/>
          <w:sz w:val="24"/>
          <w:szCs w:val="24"/>
          <w:lang w:val="pt-PT"/>
        </w:rPr>
        <w:softHyphen/>
      </w:r>
      <w:r>
        <w:rPr>
          <w:rFonts w:ascii="Times New Roman" w:hAnsi="Times New Roman" w:cs="Times New Roman"/>
          <w:sz w:val="24"/>
          <w:szCs w:val="24"/>
          <w:lang w:val="pt-PT"/>
        </w:rPr>
        <w:softHyphen/>
      </w:r>
      <w:r>
        <w:rPr>
          <w:rFonts w:ascii="Times New Roman" w:hAnsi="Times New Roman" w:cs="Times New Roman"/>
          <w:sz w:val="24"/>
          <w:szCs w:val="24"/>
          <w:lang w:val="pt-PT"/>
        </w:rPr>
        <w:softHyphen/>
      </w:r>
      <w:r>
        <w:rPr>
          <w:rFonts w:ascii="Times New Roman" w:hAnsi="Times New Roman" w:cs="Times New Roman"/>
          <w:sz w:val="24"/>
          <w:szCs w:val="24"/>
          <w:lang w:val="pt-PT"/>
        </w:rPr>
        <w:softHyphen/>
      </w:r>
      <w:r>
        <w:rPr>
          <w:rFonts w:ascii="Times New Roman" w:hAnsi="Times New Roman" w:cs="Times New Roman"/>
          <w:sz w:val="24"/>
          <w:szCs w:val="24"/>
          <w:lang w:val="pt-PT"/>
        </w:rPr>
        <w:softHyphen/>
      </w:r>
      <w:r>
        <w:rPr>
          <w:rFonts w:ascii="Times New Roman" w:hAnsi="Times New Roman" w:cs="Times New Roman"/>
          <w:sz w:val="24"/>
          <w:szCs w:val="24"/>
          <w:lang w:val="pt-PT"/>
        </w:rPr>
        <w:softHyphen/>
      </w:r>
      <w:r>
        <w:rPr>
          <w:rFonts w:ascii="Times New Roman" w:hAnsi="Times New Roman" w:cs="Times New Roman"/>
          <w:sz w:val="24"/>
          <w:szCs w:val="24"/>
          <w:lang w:val="pt-PT"/>
        </w:rPr>
        <w:softHyphen/>
      </w:r>
      <w:r>
        <w:rPr>
          <w:rFonts w:ascii="Times New Roman" w:hAnsi="Times New Roman" w:cs="Times New Roman"/>
          <w:sz w:val="24"/>
          <w:szCs w:val="24"/>
          <w:lang w:val="pt-PT"/>
        </w:rPr>
        <w:softHyphen/>
      </w:r>
      <w:r>
        <w:rPr>
          <w:rFonts w:ascii="Times New Roman" w:hAnsi="Times New Roman" w:cs="Times New Roman"/>
          <w:sz w:val="24"/>
          <w:szCs w:val="24"/>
          <w:lang w:val="pt-PT"/>
        </w:rPr>
        <w:softHyphen/>
      </w:r>
      <w:r>
        <w:rPr>
          <w:rFonts w:ascii="Times New Roman" w:hAnsi="Times New Roman" w:cs="Times New Roman"/>
          <w:sz w:val="24"/>
          <w:szCs w:val="24"/>
          <w:lang w:val="pt-PT"/>
        </w:rPr>
        <w:softHyphen/>
      </w:r>
      <w:r>
        <w:rPr>
          <w:rFonts w:ascii="Times New Roman" w:hAnsi="Times New Roman" w:cs="Times New Roman"/>
          <w:sz w:val="24"/>
          <w:szCs w:val="24"/>
          <w:lang w:val="pt-PT"/>
        </w:rPr>
        <w:softHyphen/>
      </w:r>
      <w:r>
        <w:rPr>
          <w:rFonts w:ascii="Times New Roman" w:hAnsi="Times New Roman" w:cs="Times New Roman"/>
          <w:sz w:val="24"/>
          <w:szCs w:val="24"/>
          <w:lang w:val="pt-PT"/>
        </w:rPr>
        <w:softHyphen/>
      </w:r>
      <w:r>
        <w:rPr>
          <w:rFonts w:ascii="Times New Roman" w:hAnsi="Times New Roman" w:cs="Times New Roman"/>
          <w:sz w:val="24"/>
          <w:szCs w:val="24"/>
          <w:lang w:val="pt-PT"/>
        </w:rPr>
        <w:softHyphen/>
      </w:r>
      <w:r>
        <w:rPr>
          <w:rFonts w:ascii="Times New Roman" w:hAnsi="Times New Roman" w:cs="Times New Roman"/>
          <w:sz w:val="24"/>
          <w:szCs w:val="24"/>
          <w:lang w:val="pt-PT"/>
        </w:rPr>
        <w:softHyphen/>
      </w:r>
      <w:r>
        <w:rPr>
          <w:rFonts w:ascii="Times New Roman" w:hAnsi="Times New Roman" w:cs="Times New Roman"/>
          <w:sz w:val="24"/>
          <w:szCs w:val="24"/>
          <w:lang w:val="pt-PT"/>
        </w:rPr>
        <w:softHyphen/>
      </w:r>
      <w:r>
        <w:rPr>
          <w:rFonts w:ascii="Times New Roman" w:hAnsi="Times New Roman" w:cs="Times New Roman"/>
          <w:sz w:val="24"/>
          <w:szCs w:val="24"/>
          <w:lang w:val="pt-PT"/>
        </w:rPr>
        <w:softHyphen/>
      </w:r>
      <w:r>
        <w:rPr>
          <w:rFonts w:ascii="Times New Roman" w:hAnsi="Times New Roman" w:cs="Times New Roman"/>
          <w:sz w:val="24"/>
          <w:szCs w:val="24"/>
          <w:lang w:val="pt-PT"/>
        </w:rPr>
        <w:softHyphen/>
      </w:r>
      <w:r>
        <w:rPr>
          <w:rFonts w:ascii="Times New Roman" w:hAnsi="Times New Roman" w:cs="Times New Roman"/>
          <w:sz w:val="24"/>
          <w:szCs w:val="24"/>
          <w:lang w:val="pt-PT"/>
        </w:rPr>
        <w:softHyphen/>
      </w:r>
      <w:r>
        <w:rPr>
          <w:rFonts w:ascii="Times New Roman" w:hAnsi="Times New Roman" w:cs="Times New Roman"/>
          <w:sz w:val="24"/>
          <w:szCs w:val="24"/>
          <w:lang w:val="pt-PT"/>
        </w:rPr>
        <w:softHyphen/>
      </w:r>
      <w:r>
        <w:rPr>
          <w:rFonts w:ascii="Times New Roman" w:hAnsi="Times New Roman" w:cs="Times New Roman"/>
          <w:sz w:val="24"/>
          <w:szCs w:val="24"/>
          <w:lang w:val="pt-PT"/>
        </w:rPr>
        <w:softHyphen/>
      </w:r>
      <w:r>
        <w:rPr>
          <w:rFonts w:ascii="Times New Roman" w:hAnsi="Times New Roman" w:cs="Times New Roman"/>
          <w:sz w:val="24"/>
          <w:szCs w:val="24"/>
          <w:lang w:val="pt-PT"/>
        </w:rPr>
        <w:softHyphen/>
      </w:r>
      <w:r>
        <w:rPr>
          <w:rFonts w:ascii="Times New Roman" w:hAnsi="Times New Roman" w:cs="Times New Roman"/>
          <w:sz w:val="24"/>
          <w:szCs w:val="24"/>
          <w:lang w:val="pt-PT"/>
        </w:rPr>
        <w:tab/>
        <w:t>Revela-se assim uma clara relação de interdependência entre empresas, infraestrutura física, financeira, de recursos humanos e de ciência e tecnologia apresentam elementos específicos em cada indústria, também caracterizadas por diferentes regimes tecnológicos, estratégias de competição e/ou cooperação, condições de oportunidade, cumulatividade e apropriabilidade tecnológica. É nesse contexto que se inserem as iniciativas de desenvolver tecnologias para o aproveitamento eficiente da biomassa, inclusive a produção de biocombustíveis.</w:t>
      </w:r>
    </w:p>
    <w:p w:rsidR="00715F5B" w:rsidRDefault="00691C46"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 A análise agora abordará</w:t>
      </w:r>
      <w:r w:rsidR="00715F5B">
        <w:rPr>
          <w:rFonts w:ascii="Times New Roman" w:hAnsi="Times New Roman" w:cs="Times New Roman"/>
          <w:sz w:val="24"/>
          <w:szCs w:val="24"/>
          <w:lang w:val="pt-PT"/>
        </w:rPr>
        <w:t xml:space="preserve"> pontos específicos da política industrial recente que dizem respeito à utilização energética da biomassa, partindo da Política de Desenvolvimento </w:t>
      </w:r>
      <w:r w:rsidR="00715F5B">
        <w:rPr>
          <w:rFonts w:ascii="Times New Roman" w:hAnsi="Times New Roman" w:cs="Times New Roman"/>
          <w:sz w:val="24"/>
          <w:szCs w:val="24"/>
          <w:lang w:val="pt-PT"/>
        </w:rPr>
        <w:lastRenderedPageBreak/>
        <w:t>Produtivo (PDP), lançada em Maio de 2008, e passando em seguida pelo Plano Brasil Maior, que deu continuidade à PDP no governo Dilma Roussef.</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Os focos específicos de ação da PDP</w:t>
      </w:r>
      <w:r>
        <w:rPr>
          <w:rStyle w:val="Refdenotaderodap"/>
          <w:rFonts w:ascii="Times New Roman" w:hAnsi="Times New Roman" w:cs="Times New Roman"/>
          <w:sz w:val="24"/>
          <w:szCs w:val="24"/>
          <w:lang w:val="pt-PT"/>
        </w:rPr>
        <w:footnoteReference w:id="45"/>
      </w:r>
      <w:r>
        <w:rPr>
          <w:rFonts w:ascii="Times New Roman" w:hAnsi="Times New Roman" w:cs="Times New Roman"/>
          <w:sz w:val="24"/>
          <w:szCs w:val="24"/>
          <w:lang w:val="pt-PT"/>
        </w:rPr>
        <w:t xml:space="preserve"> estão divididos em cinco grupos de programas. O primeiro se refere à consolidação e expansão da liderança, a fim de dar sustentação a setores em que o país já tem destaque, como é o caso do etanol. O segundo prevê o fortalecimento da competitividade em setores como o de biodiesel, ao passo que um terceiro grupo, dos “programas mobilizadores em áreas estratégicas”, inclui setores como o de biotecnologia. Dois outros programas, o de ações sistêmicas e o de destaques estratégicos, completam a estrutura da política.</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No programa “Consolidar e Expandir a Liderança”, entre os objetivos estão: i) a retomada da liderança mundial no bioetanol; ii) o aumento do aproveitamento dos sub-produtos (vinhaça, levedura e bagaço); iii) o </w:t>
      </w:r>
      <w:r w:rsidRPr="00C332E9">
        <w:rPr>
          <w:rFonts w:ascii="Times New Roman" w:hAnsi="Times New Roman" w:cs="Times New Roman"/>
          <w:sz w:val="24"/>
          <w:szCs w:val="24"/>
          <w:lang w:val="pt-PT"/>
        </w:rPr>
        <w:t>domínio das próximas gerações tecnológicas;</w:t>
      </w:r>
      <w:r w:rsidRPr="001D1F54">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e </w:t>
      </w:r>
      <w:r w:rsidRPr="001D1F54">
        <w:rPr>
          <w:rFonts w:ascii="Times New Roman" w:hAnsi="Times New Roman" w:cs="Times New Roman"/>
          <w:sz w:val="24"/>
          <w:szCs w:val="24"/>
          <w:lang w:val="pt-PT"/>
        </w:rPr>
        <w:t xml:space="preserve">iv) </w:t>
      </w:r>
      <w:r>
        <w:rPr>
          <w:rFonts w:ascii="Times New Roman" w:hAnsi="Times New Roman" w:cs="Times New Roman"/>
          <w:sz w:val="24"/>
          <w:szCs w:val="24"/>
          <w:lang w:val="pt-PT"/>
        </w:rPr>
        <w:t xml:space="preserve">a expansão da oferta de eletricidade por meio da biomassa (MDIC, 2009a). </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O Programa de “Fortalecimento para a Competitividade”, por sua vez, tem foco em complexos produtivos com potencial de exportação ou de geração de efeitos de encadeamento sobre o conjunto da estrutura e prevê o uso articulado de incentivos fiscais e financeiros, da regulação, do poder de compra e do apoio técnico para que os objetivos sejam atingidos. Neste programa, é possível identificar uma série de órgãos envolvidos nas ações planejadas, que se estende de universidades e centros de pesquisa, bancos de desenvolvimento, superintendências e ministérios (MMA, MAPA, MDA, MTE, MCT, MDIC) até associações da indústria, como a ANFAVEA (MDIC, 2009b).</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No que tange a inovação tecnológica, verificamos que, entre as medidas de apoio a P,D&amp;I em áreas estratégicas, encontra-se o desenvolvimento de biocombustíveis de segunda geração, especificamente a produção de diesel sintético de alta pureza obtido da gaseificação de resíduos vegetais, sob responsabilidade da Petrobras, Embrapa e CENPES</w:t>
      </w:r>
      <w:r>
        <w:rPr>
          <w:rStyle w:val="Refdenotaderodap"/>
          <w:rFonts w:ascii="Times New Roman" w:hAnsi="Times New Roman" w:cs="Times New Roman"/>
          <w:sz w:val="24"/>
          <w:szCs w:val="24"/>
          <w:lang w:val="pt-PT"/>
        </w:rPr>
        <w:footnoteReference w:id="46"/>
      </w:r>
      <w:r>
        <w:rPr>
          <w:rFonts w:ascii="Times New Roman" w:hAnsi="Times New Roman" w:cs="Times New Roman"/>
          <w:sz w:val="24"/>
          <w:szCs w:val="24"/>
          <w:lang w:val="pt-PT"/>
        </w:rPr>
        <w:t xml:space="preserve">. Já à ANP é atribuído papel importante no aumento da atratividade dos leilões aos produtores e na melhoria da logística de transporte e comercialização do biodiesel no território nacional. </w:t>
      </w:r>
    </w:p>
    <w:p w:rsidR="00715F5B" w:rsidRDefault="00715F5B" w:rsidP="00715F5B">
      <w:pPr>
        <w:spacing w:line="360" w:lineRule="auto"/>
        <w:rPr>
          <w:rFonts w:ascii="Times New Roman" w:hAnsi="Times New Roman" w:cs="Times New Roman"/>
          <w:sz w:val="24"/>
          <w:szCs w:val="24"/>
          <w:lang w:val="pt-PT"/>
        </w:rPr>
      </w:pPr>
      <w:r w:rsidRPr="00E81B59">
        <w:rPr>
          <w:rFonts w:ascii="Times New Roman" w:hAnsi="Times New Roman" w:cs="Times New Roman"/>
          <w:sz w:val="24"/>
          <w:szCs w:val="24"/>
          <w:lang w:val="pt-PT"/>
        </w:rPr>
        <w:tab/>
        <w:t>Diante dos programas, objetivos e desafios traçados no P</w:t>
      </w:r>
      <w:r>
        <w:rPr>
          <w:rFonts w:ascii="Times New Roman" w:hAnsi="Times New Roman" w:cs="Times New Roman"/>
          <w:sz w:val="24"/>
          <w:szCs w:val="24"/>
          <w:lang w:val="pt-PT"/>
        </w:rPr>
        <w:t>DP, chama atenção o</w:t>
      </w:r>
      <w:r w:rsidRPr="00E81B59">
        <w:rPr>
          <w:rFonts w:ascii="Times New Roman" w:hAnsi="Times New Roman" w:cs="Times New Roman"/>
          <w:sz w:val="24"/>
          <w:szCs w:val="24"/>
          <w:lang w:val="pt-PT"/>
        </w:rPr>
        <w:t xml:space="preserve"> gra</w:t>
      </w:r>
      <w:r>
        <w:rPr>
          <w:rFonts w:ascii="Times New Roman" w:hAnsi="Times New Roman" w:cs="Times New Roman"/>
          <w:sz w:val="24"/>
          <w:szCs w:val="24"/>
          <w:lang w:val="pt-PT"/>
        </w:rPr>
        <w:t>nde número de atores envolvidos</w:t>
      </w:r>
      <w:r w:rsidRPr="00E81B59">
        <w:rPr>
          <w:rFonts w:ascii="Times New Roman" w:hAnsi="Times New Roman" w:cs="Times New Roman"/>
          <w:sz w:val="24"/>
          <w:szCs w:val="24"/>
          <w:lang w:val="pt-PT"/>
        </w:rPr>
        <w:t>. Sobre a necessidade de coordenar esforços públicos e privados em direção ao interess</w:t>
      </w:r>
      <w:r>
        <w:rPr>
          <w:rFonts w:ascii="Times New Roman" w:hAnsi="Times New Roman" w:cs="Times New Roman"/>
          <w:sz w:val="24"/>
          <w:szCs w:val="24"/>
          <w:lang w:val="pt-PT"/>
        </w:rPr>
        <w:t>e nacional, Cano e Silva (2010, p. 21) sublinham</w:t>
      </w:r>
      <w:r w:rsidRPr="00E81B59">
        <w:rPr>
          <w:rFonts w:ascii="Times New Roman" w:hAnsi="Times New Roman" w:cs="Times New Roman"/>
          <w:sz w:val="24"/>
          <w:szCs w:val="24"/>
          <w:lang w:val="pt-PT"/>
        </w:rPr>
        <w:t xml:space="preserve"> que “crescentemente, </w:t>
      </w:r>
      <w:r w:rsidRPr="00E81B59">
        <w:rPr>
          <w:rFonts w:ascii="Times New Roman" w:hAnsi="Times New Roman" w:cs="Times New Roman"/>
          <w:sz w:val="24"/>
          <w:szCs w:val="24"/>
          <w:lang w:val="pt-PT"/>
        </w:rPr>
        <w:lastRenderedPageBreak/>
        <w:t>requer-se de uma política industrial a capacidade de coordenar o todo (cada vez mais complexo), ao mesmo tempo em que considera as especificidades da realidade em suas várias dimensões (setorial, tecnológica, financeira, organizacional, institucional, regional), apoiada em uma perspectiva dinâmica de longo prazo</w:t>
      </w:r>
      <w:r>
        <w:rPr>
          <w:rFonts w:ascii="Times New Roman" w:hAnsi="Times New Roman" w:cs="Times New Roman"/>
          <w:sz w:val="24"/>
          <w:szCs w:val="24"/>
          <w:lang w:val="pt-PT"/>
        </w:rPr>
        <w:t>”</w:t>
      </w:r>
      <w:r w:rsidRPr="00E81B59">
        <w:rPr>
          <w:rFonts w:ascii="Times New Roman" w:hAnsi="Times New Roman" w:cs="Times New Roman"/>
          <w:sz w:val="24"/>
          <w:szCs w:val="24"/>
          <w:lang w:val="pt-PT"/>
        </w:rPr>
        <w:t>.</w:t>
      </w:r>
      <w:r>
        <w:rPr>
          <w:rFonts w:ascii="Times New Roman" w:hAnsi="Times New Roman" w:cs="Times New Roman"/>
          <w:sz w:val="24"/>
          <w:szCs w:val="24"/>
          <w:lang w:val="pt-PT"/>
        </w:rPr>
        <w:t xml:space="preserve"> </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Em 2011, o Plano Brasil Maior (PBM) (2011-2014) veio substituir a PDP como a política industrial, tecnológica e de comércio exterior do governo Dilma Roussef</w:t>
      </w:r>
      <w:r w:rsidR="00057E4C">
        <w:rPr>
          <w:rFonts w:ascii="Times New Roman" w:hAnsi="Times New Roman" w:cs="Times New Roman"/>
          <w:sz w:val="24"/>
          <w:szCs w:val="24"/>
          <w:lang w:val="pt-PT"/>
        </w:rPr>
        <w:t xml:space="preserve">, buscando manter </w:t>
      </w:r>
      <w:r>
        <w:rPr>
          <w:rFonts w:ascii="Times New Roman" w:hAnsi="Times New Roman" w:cs="Times New Roman"/>
          <w:sz w:val="24"/>
          <w:szCs w:val="24"/>
          <w:lang w:val="pt-PT"/>
        </w:rPr>
        <w:t xml:space="preserve">a inovação e </w:t>
      </w:r>
      <w:r w:rsidR="00057E4C">
        <w:rPr>
          <w:rFonts w:ascii="Times New Roman" w:hAnsi="Times New Roman" w:cs="Times New Roman"/>
          <w:sz w:val="24"/>
          <w:szCs w:val="24"/>
          <w:lang w:val="pt-PT"/>
        </w:rPr>
        <w:t xml:space="preserve">a </w:t>
      </w:r>
      <w:r>
        <w:rPr>
          <w:rFonts w:ascii="Times New Roman" w:hAnsi="Times New Roman" w:cs="Times New Roman"/>
          <w:sz w:val="24"/>
          <w:szCs w:val="24"/>
          <w:lang w:val="pt-PT"/>
        </w:rPr>
        <w:t xml:space="preserve">competitividade como prioridades. </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Ao lermos o texto de referência do PBM, destaca-se a Diretriz Setorial 3, que envolve o desenvolvimento de cadeias de suprimento em energia, a partir do aproveitamento de oportunidades ambientais e de negócios no setor de energia, buscando colocar o Brasil entre os maiores fornecedores mundiais de energia e de tecnologias, bens de capital e serviços associados. A diretriz identifica oportunidades tanto na exploração e produção de petróleo e gás, como no desenvolvimento de energias renováveis, como </w:t>
      </w:r>
      <w:r w:rsidRPr="00EE5611">
        <w:rPr>
          <w:rFonts w:ascii="Times New Roman" w:hAnsi="Times New Roman" w:cs="Times New Roman"/>
          <w:i/>
          <w:sz w:val="24"/>
          <w:szCs w:val="24"/>
          <w:lang w:val="pt-PT"/>
        </w:rPr>
        <w:t>etanol</w:t>
      </w:r>
      <w:r>
        <w:rPr>
          <w:rFonts w:ascii="Times New Roman" w:hAnsi="Times New Roman" w:cs="Times New Roman"/>
          <w:sz w:val="24"/>
          <w:szCs w:val="24"/>
          <w:lang w:val="pt-PT"/>
        </w:rPr>
        <w:t>, eólica, solar e carvão vegetal.</w:t>
      </w:r>
    </w:p>
    <w:p w:rsidR="00715F5B" w:rsidRDefault="00715F5B" w:rsidP="00715F5B">
      <w:pPr>
        <w:spacing w:line="360" w:lineRule="auto"/>
        <w:ind w:firstLine="708"/>
        <w:rPr>
          <w:rFonts w:ascii="Times New Roman" w:hAnsi="Times New Roman" w:cs="Times New Roman"/>
          <w:color w:val="FF0000"/>
          <w:sz w:val="24"/>
          <w:szCs w:val="24"/>
          <w:lang w:val="pt-PT"/>
        </w:rPr>
      </w:pPr>
      <w:r>
        <w:rPr>
          <w:rFonts w:ascii="Times New Roman" w:hAnsi="Times New Roman" w:cs="Times New Roman"/>
          <w:sz w:val="24"/>
          <w:szCs w:val="24"/>
          <w:lang w:val="pt-PT"/>
        </w:rPr>
        <w:t>O setor de bioetanol – junto ao setor químico e de fertilizantes - ainda ganha destaque no bloco de sistemas produtivos intensivos em escala, para os quais serão promovidos esforços de adensamento e agregação de valor. A produção de biodiesel, no entanto, não é mencionada no programa. Isso pode ser reflexo do tratamento do programa de biodiesel com um enfoque no desenvolvimento agrário, enquanto o programa do etanol recebe maior apoio para se desenvolver industrialmente.</w:t>
      </w:r>
    </w:p>
    <w:p w:rsidR="00715F5B" w:rsidRPr="001F56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O apoio financeiro às atividades de PD&amp;I se encontra sobretudo em instituições públicas, como as diversas Fundações Estaduais de Amparo à Pesquisa (as Fapes), o Conselho Nacional de Desenvolvimento Científico e Tecnológico</w:t>
      </w:r>
      <w:r w:rsidR="00EB7131">
        <w:rPr>
          <w:rFonts w:ascii="Times New Roman" w:hAnsi="Times New Roman" w:cs="Times New Roman"/>
          <w:sz w:val="24"/>
          <w:szCs w:val="24"/>
          <w:lang w:val="pt-PT"/>
        </w:rPr>
        <w:t xml:space="preserve"> (CNPq</w:t>
      </w:r>
      <w:r>
        <w:rPr>
          <w:rFonts w:ascii="Times New Roman" w:hAnsi="Times New Roman" w:cs="Times New Roman"/>
          <w:sz w:val="24"/>
          <w:szCs w:val="24"/>
          <w:lang w:val="pt-PT"/>
        </w:rPr>
        <w:t xml:space="preserve">), os Fundos Setoriais, a Finep e o BNDES, com destaque para essas duas últimas, e é destinado a atividades de toda a cadeia de produção de etanol e derivados. </w:t>
      </w:r>
      <w:r w:rsidRPr="001F565B">
        <w:rPr>
          <w:rFonts w:ascii="Times New Roman" w:hAnsi="Times New Roman" w:cs="Times New Roman"/>
          <w:lang w:val="pt-PT"/>
        </w:rPr>
        <w:t>O esforço de política industrial direcionada à p</w:t>
      </w:r>
      <w:r>
        <w:rPr>
          <w:rFonts w:ascii="Times New Roman" w:hAnsi="Times New Roman" w:cs="Times New Roman"/>
          <w:lang w:val="pt-PT"/>
        </w:rPr>
        <w:t>rodução de biocombustíveis</w:t>
      </w:r>
      <w:r w:rsidRPr="001F565B">
        <w:rPr>
          <w:rFonts w:ascii="Times New Roman" w:hAnsi="Times New Roman" w:cs="Times New Roman"/>
          <w:lang w:val="pt-PT"/>
        </w:rPr>
        <w:t xml:space="preserve"> pode ser verificado</w:t>
      </w:r>
      <w:r>
        <w:rPr>
          <w:rFonts w:ascii="Times New Roman" w:hAnsi="Times New Roman" w:cs="Times New Roman"/>
          <w:lang w:val="pt-PT"/>
        </w:rPr>
        <w:t>, por exemplo,</w:t>
      </w:r>
      <w:r w:rsidRPr="001F565B">
        <w:rPr>
          <w:rFonts w:ascii="Times New Roman" w:hAnsi="Times New Roman" w:cs="Times New Roman"/>
          <w:lang w:val="pt-PT"/>
        </w:rPr>
        <w:t xml:space="preserve"> no </w:t>
      </w:r>
      <w:r w:rsidRPr="001F565B">
        <w:rPr>
          <w:rFonts w:ascii="Times New Roman" w:hAnsi="Times New Roman" w:cs="Times New Roman"/>
          <w:sz w:val="24"/>
          <w:szCs w:val="24"/>
          <w:lang w:val="pt-PT"/>
        </w:rPr>
        <w:t xml:space="preserve"> relatório de desembolsos do BNDES (2011), que revela um investimento de R$ 5,3 bilhões ao longo de 2010 destinados para o setor de bioetanol. </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Na etapa agrícola, essas atividades envolvem o melhoramento genético das cultivares, manejo agrícola, colheita e pré-processamento da cana. Na etapa industrial, os projetos estão relacionados à melhoria e desenvolvimento de novos equipamentos e processos, no caso dos biocombustíveis de primeira geração, e ao aproveitamento da biomassa, por meio de hidrólise (enzimática ou ácida) e processos físico-químicos (pirólise e gaseificação), no caso dos avançados. </w:t>
      </w:r>
    </w:p>
    <w:p w:rsidR="00715F5B" w:rsidRDefault="00715F5B" w:rsidP="00715F5B">
      <w:pPr>
        <w:spacing w:line="360" w:lineRule="auto"/>
        <w:ind w:firstLine="708"/>
        <w:rPr>
          <w:rFonts w:ascii="Times New Roman" w:hAnsi="Times New Roman" w:cs="Times New Roman"/>
          <w:lang w:val="pt-PT"/>
        </w:rPr>
      </w:pPr>
      <w:r>
        <w:rPr>
          <w:rFonts w:ascii="Times New Roman" w:hAnsi="Times New Roman" w:cs="Times New Roman"/>
          <w:sz w:val="24"/>
          <w:szCs w:val="24"/>
          <w:lang w:val="pt-PT"/>
        </w:rPr>
        <w:lastRenderedPageBreak/>
        <w:t>Outras atividades elegíveis estão relacionadas a novas aplicações do etanol como matéria-prima e à valorização dos subprodutos, bem como a redução dos impactos negativos que estes possam ter sobre o meio ambiente. Contudo, apesar de estas últimas atividades serem as mais promissoras, em termos de aumento de produtividade, é para as etapas agrícola e industrial de primeira geração que tem sido destinada a maior parte dos recursos da FINEP e BNDES (NYKO et al., 2010).</w:t>
      </w:r>
      <w:r w:rsidRPr="001F565B">
        <w:rPr>
          <w:rFonts w:ascii="Times New Roman" w:hAnsi="Times New Roman" w:cs="Times New Roman"/>
          <w:lang w:val="pt-PT"/>
        </w:rPr>
        <w:t xml:space="preserve"> </w:t>
      </w:r>
    </w:p>
    <w:p w:rsidR="00715F5B" w:rsidRDefault="00715F5B" w:rsidP="00715F5B">
      <w:pPr>
        <w:spacing w:line="360" w:lineRule="auto"/>
        <w:ind w:firstLine="708"/>
        <w:rPr>
          <w:rFonts w:ascii="Times New Roman" w:hAnsi="Times New Roman" w:cs="Times New Roman"/>
          <w:sz w:val="24"/>
          <w:szCs w:val="24"/>
          <w:lang w:val="pt-PT"/>
        </w:rPr>
      </w:pPr>
      <w:r w:rsidRPr="00393ED1">
        <w:rPr>
          <w:rFonts w:ascii="Times New Roman" w:hAnsi="Times New Roman" w:cs="Times New Roman"/>
          <w:sz w:val="24"/>
          <w:szCs w:val="24"/>
          <w:lang w:val="pt-PT"/>
        </w:rPr>
        <w:t xml:space="preserve">No que diz respeito às políticas de apoio à inovação, </w:t>
      </w:r>
      <w:r>
        <w:rPr>
          <w:rFonts w:ascii="Times New Roman" w:hAnsi="Times New Roman" w:cs="Times New Roman"/>
          <w:sz w:val="24"/>
          <w:szCs w:val="24"/>
          <w:lang w:val="pt-PT"/>
        </w:rPr>
        <w:t>houve recentemente</w:t>
      </w:r>
      <w:r w:rsidRPr="00393ED1">
        <w:rPr>
          <w:rFonts w:ascii="Times New Roman" w:hAnsi="Times New Roman" w:cs="Times New Roman"/>
          <w:sz w:val="24"/>
          <w:szCs w:val="24"/>
          <w:lang w:val="pt-PT"/>
        </w:rPr>
        <w:t xml:space="preserve"> o lançamento do Plano Conjunto BNDES-FINEP de Apoio à Inovação Tecnológica Industrial dos Setores Sucroen</w:t>
      </w:r>
      <w:r>
        <w:rPr>
          <w:rFonts w:ascii="Times New Roman" w:hAnsi="Times New Roman" w:cs="Times New Roman"/>
          <w:sz w:val="24"/>
          <w:szCs w:val="24"/>
          <w:lang w:val="pt-PT"/>
        </w:rPr>
        <w:t>ergético e Sucroquímico (PAISS)</w:t>
      </w:r>
      <w:r w:rsidRPr="00393ED1">
        <w:rPr>
          <w:rFonts w:ascii="Times New Roman" w:hAnsi="Times New Roman" w:cs="Times New Roman"/>
          <w:sz w:val="24"/>
          <w:szCs w:val="24"/>
          <w:lang w:val="pt-PT"/>
        </w:rPr>
        <w:t>. O o</w:t>
      </w:r>
      <w:r>
        <w:rPr>
          <w:rFonts w:ascii="Times New Roman" w:hAnsi="Times New Roman" w:cs="Times New Roman"/>
          <w:sz w:val="24"/>
          <w:szCs w:val="24"/>
          <w:lang w:val="pt-PT"/>
        </w:rPr>
        <w:t xml:space="preserve">bjetivo do programa é fomentar </w:t>
      </w:r>
      <w:r w:rsidRPr="00393ED1">
        <w:rPr>
          <w:rFonts w:ascii="Times New Roman" w:hAnsi="Times New Roman" w:cs="Times New Roman"/>
          <w:sz w:val="24"/>
          <w:szCs w:val="24"/>
          <w:lang w:val="pt-PT"/>
        </w:rPr>
        <w:t>projetos que contemplem</w:t>
      </w:r>
      <w:r>
        <w:rPr>
          <w:rFonts w:ascii="Times New Roman" w:hAnsi="Times New Roman" w:cs="Times New Roman"/>
          <w:sz w:val="24"/>
          <w:szCs w:val="24"/>
          <w:lang w:val="pt-PT"/>
        </w:rPr>
        <w:t xml:space="preserve"> o desenvolvimento e</w:t>
      </w:r>
      <w:r w:rsidRPr="00393ED1">
        <w:rPr>
          <w:rFonts w:ascii="Times New Roman" w:hAnsi="Times New Roman" w:cs="Times New Roman"/>
          <w:sz w:val="24"/>
          <w:szCs w:val="24"/>
          <w:lang w:val="pt-PT"/>
        </w:rPr>
        <w:t xml:space="preserve"> a comercialização de novas tecnologias industriais destinadas ao processamento da biom</w:t>
      </w:r>
      <w:r>
        <w:rPr>
          <w:rFonts w:ascii="Times New Roman" w:hAnsi="Times New Roman" w:cs="Times New Roman"/>
          <w:sz w:val="24"/>
          <w:szCs w:val="24"/>
          <w:lang w:val="pt-PT"/>
        </w:rPr>
        <w:t>assa oriunda da cana-de-açúcar.</w:t>
      </w:r>
    </w:p>
    <w:p w:rsidR="00715F5B" w:rsidRPr="00393ED1"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Entre as linhas temáticas do PAISS se encontram: i) o desenvolvimento do bioetanol de segunda geração, com foco nos processos de hidrólise de materiais ligno-celulósicos e de fermentação de pentoses, ii) o desenvolvimento de novos produtos de cana-de-açúcar, e iii) desenvolvimento de tecnologias de pré-tratamento de biomassas da cana-de-açúcar, equipamentos e catalisadores para otimizar o processo de gaseificação.</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Ainda quanto às fontes de financiamento, devem ser mencionados os fundos setoriais. O Fundo Setorial de Petróleo e Gás Natural foi criado no início de 1997, pela mesma lei que instituiu o CNPE e a ANP, prevendo a destinação de parcela dos royalties oriundos da produção de petróleo e gás natural para programas de financiamento e amparo à pesquisa científica e desenvolvimento tecnológico aplicados à própria indústria. Posteriormente foram criados também os Fundos Setoriais de Energia, de Agronegócio e de Biotecnologia, dos quais a produção de biocombustíveis poderia se beneficiar. </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Nyko et al. (2010) comparam os esforços governamentais nos EUA, UE e Brasil, constatando que há capacidade de coordenação bem menor no último caso. Para os autores, o fato de haver diversas instituições de pesquisas e fontes públicas de financiamento faz com que os esforços e recursos destinados a PD&amp;I estejam pulverizados, tornando-os menos eficazes. Entretanto, os próprios fundos setoriais são geridos por comitês em que a FINEP é representada, sugerindo que o principal obstáculo talvez não seja a pulverização dos recursos, mas sim a falta de direcionamento dos recursos às etapas mais promissoras da cadeia produtiva para ganhos de produtividade. </w:t>
      </w:r>
    </w:p>
    <w:p w:rsidR="00715F5B" w:rsidRPr="00AA20F8" w:rsidRDefault="00057E4C" w:rsidP="00057E4C">
      <w:pPr>
        <w:spacing w:line="360" w:lineRule="auto"/>
        <w:ind w:firstLine="708"/>
        <w:rPr>
          <w:rFonts w:ascii="Times New Roman" w:hAnsi="Times New Roman" w:cs="Times New Roman"/>
          <w:sz w:val="24"/>
          <w:szCs w:val="24"/>
        </w:rPr>
      </w:pPr>
      <w:r>
        <w:rPr>
          <w:rFonts w:ascii="Times New Roman" w:hAnsi="Times New Roman" w:cs="Times New Roman"/>
          <w:sz w:val="24"/>
          <w:szCs w:val="24"/>
          <w:lang w:val="pt-PT"/>
        </w:rPr>
        <w:t xml:space="preserve">Os autores </w:t>
      </w:r>
      <w:r w:rsidR="00715F5B" w:rsidRPr="00AA20F8">
        <w:rPr>
          <w:rFonts w:ascii="Times New Roman" w:hAnsi="Times New Roman" w:cs="Times New Roman"/>
          <w:sz w:val="24"/>
          <w:szCs w:val="24"/>
        </w:rPr>
        <w:t xml:space="preserve">ressaltam </w:t>
      </w:r>
      <w:r>
        <w:rPr>
          <w:rFonts w:ascii="Times New Roman" w:hAnsi="Times New Roman" w:cs="Times New Roman"/>
          <w:sz w:val="24"/>
          <w:szCs w:val="24"/>
        </w:rPr>
        <w:t xml:space="preserve">ainda </w:t>
      </w:r>
      <w:r w:rsidR="00715F5B" w:rsidRPr="00AA20F8">
        <w:rPr>
          <w:rFonts w:ascii="Times New Roman" w:hAnsi="Times New Roman" w:cs="Times New Roman"/>
          <w:sz w:val="24"/>
          <w:szCs w:val="24"/>
        </w:rPr>
        <w:t>que, apesar de os programas no</w:t>
      </w:r>
      <w:r w:rsidR="004D2E0D">
        <w:rPr>
          <w:rFonts w:ascii="Times New Roman" w:hAnsi="Times New Roman" w:cs="Times New Roman"/>
          <w:sz w:val="24"/>
          <w:szCs w:val="24"/>
        </w:rPr>
        <w:t>rte-americanos e europeus terem</w:t>
      </w:r>
      <w:r w:rsidR="00715F5B" w:rsidRPr="00AA20F8">
        <w:rPr>
          <w:rFonts w:ascii="Times New Roman" w:hAnsi="Times New Roman" w:cs="Times New Roman"/>
          <w:sz w:val="24"/>
          <w:szCs w:val="24"/>
        </w:rPr>
        <w:t xml:space="preserve"> alocado cerca de US$ 5 bilhões entre 2000 e 2013 nessas atividades, os resultados efetivos ainda são pouco expressivos. </w:t>
      </w:r>
    </w:p>
    <w:p w:rsidR="00715F5B" w:rsidRPr="00AA20F8" w:rsidRDefault="00715F5B" w:rsidP="00715F5B">
      <w:pPr>
        <w:spacing w:line="360" w:lineRule="auto"/>
        <w:ind w:firstLine="708"/>
        <w:rPr>
          <w:rFonts w:ascii="Times New Roman" w:hAnsi="Times New Roman" w:cs="Times New Roman"/>
          <w:sz w:val="24"/>
          <w:szCs w:val="24"/>
        </w:rPr>
      </w:pPr>
      <w:r w:rsidRPr="00AA20F8">
        <w:rPr>
          <w:rFonts w:ascii="Times New Roman" w:hAnsi="Times New Roman" w:cs="Times New Roman"/>
          <w:sz w:val="24"/>
          <w:szCs w:val="24"/>
        </w:rPr>
        <w:lastRenderedPageBreak/>
        <w:t>Quanto à</w:t>
      </w:r>
      <w:r w:rsidR="004D2E0D">
        <w:rPr>
          <w:rFonts w:ascii="Times New Roman" w:hAnsi="Times New Roman" w:cs="Times New Roman"/>
          <w:sz w:val="24"/>
          <w:szCs w:val="24"/>
        </w:rPr>
        <w:t>s</w:t>
      </w:r>
      <w:r w:rsidRPr="00AA20F8">
        <w:rPr>
          <w:rFonts w:ascii="Times New Roman" w:hAnsi="Times New Roman" w:cs="Times New Roman"/>
          <w:sz w:val="24"/>
          <w:szCs w:val="24"/>
        </w:rPr>
        <w:t xml:space="preserve"> políticas brasileiras, os autores sublinham a necessidade de aprimoramento na coordenação da aplicação de recursos financeiros, que são bem mais tímidos no caso brasileiro, porém a vantagem que decorre da cana-de-açúcar como matéria-prima competitiva pode fazer com</w:t>
      </w:r>
      <w:r w:rsidR="004D2E0D">
        <w:rPr>
          <w:rFonts w:ascii="Times New Roman" w:hAnsi="Times New Roman" w:cs="Times New Roman"/>
          <w:sz w:val="24"/>
          <w:szCs w:val="24"/>
        </w:rPr>
        <w:t xml:space="preserve"> que o esforço brasileiro atinja</w:t>
      </w:r>
      <w:r w:rsidRPr="00AA20F8">
        <w:rPr>
          <w:rFonts w:ascii="Times New Roman" w:hAnsi="Times New Roman" w:cs="Times New Roman"/>
          <w:sz w:val="24"/>
          <w:szCs w:val="24"/>
        </w:rPr>
        <w:t xml:space="preserve"> resultados melhores. Isso seria possível com a adoção de um programa </w:t>
      </w:r>
      <w:r w:rsidR="00057E4C">
        <w:rPr>
          <w:rFonts w:ascii="Times New Roman" w:hAnsi="Times New Roman" w:cs="Times New Roman"/>
          <w:sz w:val="24"/>
          <w:szCs w:val="24"/>
        </w:rPr>
        <w:t>coordenado de fomento</w:t>
      </w:r>
      <w:r w:rsidRPr="00AA20F8">
        <w:rPr>
          <w:rFonts w:ascii="Times New Roman" w:hAnsi="Times New Roman" w:cs="Times New Roman"/>
          <w:sz w:val="24"/>
          <w:szCs w:val="24"/>
        </w:rPr>
        <w:t xml:space="preserve">, voltado ao etanol celulósico e à valorização dos produtos da cana-de-açúcar. Pela existência de infraestrutura de distribuição e comercialização dedicada ao etanol e de uma matéria-prima competitiva (cana-de-açúcar), as políticas brasileiras tenderiam a manter o direcionamento de suas políticas ao etanol. </w:t>
      </w:r>
    </w:p>
    <w:p w:rsidR="00715F5B" w:rsidRPr="007A3AEF"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Foi nesse sentido também que o acordo de cooperação entre BNDES e FINEP, que resultou no PAISS, buscou</w:t>
      </w:r>
      <w:r w:rsidRPr="00393ED1">
        <w:rPr>
          <w:rFonts w:ascii="Times New Roman" w:hAnsi="Times New Roman" w:cs="Times New Roman"/>
          <w:sz w:val="24"/>
          <w:szCs w:val="24"/>
          <w:lang w:val="pt-PT"/>
        </w:rPr>
        <w:t xml:space="preserve"> organizar a entrada de pedidos </w:t>
      </w:r>
      <w:r>
        <w:rPr>
          <w:rFonts w:ascii="Times New Roman" w:hAnsi="Times New Roman" w:cs="Times New Roman"/>
          <w:sz w:val="24"/>
          <w:szCs w:val="24"/>
          <w:lang w:val="pt-PT"/>
        </w:rPr>
        <w:t>de apoio financeiro, constituindo tentativa de conferir maior coordenação à</w:t>
      </w:r>
      <w:r w:rsidRPr="00393ED1">
        <w:rPr>
          <w:rFonts w:ascii="Times New Roman" w:hAnsi="Times New Roman" w:cs="Times New Roman"/>
          <w:sz w:val="24"/>
          <w:szCs w:val="24"/>
          <w:lang w:val="pt-PT"/>
        </w:rPr>
        <w:t>s ações de fomento e integração dos instrumentos de apoio financeiro disponíveis</w:t>
      </w:r>
      <w:r>
        <w:rPr>
          <w:rFonts w:ascii="Times New Roman" w:hAnsi="Times New Roman" w:cs="Times New Roman"/>
          <w:sz w:val="24"/>
          <w:szCs w:val="24"/>
          <w:lang w:val="pt-PT"/>
        </w:rPr>
        <w:t>, e orientar os recursos para atividades mais intensivas em tecnologia.</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Além disso, atualmente, o Brasil ainda importa equipamentos e tecnologia para produzir biocombustíveis (IPEA, 2012). A perspectiva de expansão de seus mercados representa uma grande oportunidade para a indústria nacional de ter o completo domínio sobre os processos de toda a cadeia produtiva, desde a produção de fertilizantes, sementes e agrodefensivos, até máquinas, equipamentos industriais e assistência técnica. Desse modo, é possível que haja nessa expansão dos biocombustíveis uma “janela de oportunidade” para o desenvolvimento nacional.</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Considerando que o crescimento do mercado interno depende em grande parte de medidas governamentais (isenção fiscal, estímulo financeiro, mistura obrigatória, entre outros), é imperativo que tais medidas estejam alinhadas à política industrial para que o país seja capaz de incorporar o desenvolvimento tecnológico necessário e essa expansão ocorra de forma sustentável. </w:t>
      </w:r>
    </w:p>
    <w:p w:rsidR="00715F5B" w:rsidRDefault="00715F5B" w:rsidP="00715F5B">
      <w:pPr>
        <w:spacing w:line="360" w:lineRule="auto"/>
        <w:rPr>
          <w:rFonts w:ascii="Times New Roman" w:hAnsi="Times New Roman" w:cs="Times New Roman"/>
          <w:sz w:val="24"/>
          <w:szCs w:val="24"/>
          <w:lang w:val="pt-PT"/>
        </w:rPr>
      </w:pPr>
    </w:p>
    <w:p w:rsidR="00715F5B" w:rsidRPr="004973EB" w:rsidRDefault="00715F5B" w:rsidP="00EF5A51">
      <w:pPr>
        <w:pStyle w:val="Ttulo3"/>
      </w:pPr>
      <w:bookmarkStart w:id="126" w:name="_Toc330506373"/>
      <w:bookmarkStart w:id="127" w:name="_Toc333911374"/>
      <w:r>
        <w:t>3.2.4 Os biocombustíveis e a P</w:t>
      </w:r>
      <w:r w:rsidRPr="004973EB">
        <w:t xml:space="preserve">olítica </w:t>
      </w:r>
      <w:r w:rsidR="00EF5A51">
        <w:t>N</w:t>
      </w:r>
      <w:r w:rsidR="00123088">
        <w:t>a</w:t>
      </w:r>
      <w:r w:rsidR="00EF5A51">
        <w:t xml:space="preserve">cional </w:t>
      </w:r>
      <w:r w:rsidRPr="004973EB">
        <w:t>de Mudanças Climáticas</w:t>
      </w:r>
      <w:bookmarkEnd w:id="126"/>
      <w:bookmarkEnd w:id="127"/>
    </w:p>
    <w:p w:rsidR="00715F5B" w:rsidRDefault="00715F5B" w:rsidP="00715F5B">
      <w:pPr>
        <w:spacing w:line="360" w:lineRule="auto"/>
        <w:ind w:firstLine="708"/>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Apesar de a legislação nacional sobre biocombustíveis estabelecer percentuais mínimos de etanol e biodiesel na gasolina e no diesel fóssil para combustíveis comercializados em todo o território nacional, é possível que as esferas estaduais e municipais adotem iniciativas locais mais rigorosas. </w:t>
      </w:r>
    </w:p>
    <w:p w:rsidR="00715F5B" w:rsidRPr="008E3DA1" w:rsidRDefault="00715F5B" w:rsidP="00715F5B">
      <w:pPr>
        <w:spacing w:line="360" w:lineRule="auto"/>
        <w:ind w:firstLine="708"/>
        <w:rPr>
          <w:rFonts w:ascii="Times New Roman" w:hAnsi="Times New Roman" w:cs="Times New Roman"/>
          <w:color w:val="000000"/>
          <w:sz w:val="24"/>
          <w:szCs w:val="24"/>
        </w:rPr>
      </w:pPr>
      <w:r>
        <w:rPr>
          <w:rFonts w:ascii="Times New Roman" w:hAnsi="Times New Roman" w:cs="Times New Roman"/>
          <w:sz w:val="24"/>
          <w:szCs w:val="24"/>
          <w:lang w:val="pt-PT"/>
        </w:rPr>
        <w:lastRenderedPageBreak/>
        <w:t>A Política Nacional de Mudanças Climáticas</w:t>
      </w:r>
      <w:r>
        <w:rPr>
          <w:rStyle w:val="Refdenotaderodap"/>
          <w:rFonts w:ascii="Times New Roman" w:hAnsi="Times New Roman" w:cs="Times New Roman"/>
          <w:sz w:val="24"/>
          <w:szCs w:val="24"/>
          <w:lang w:val="pt-PT"/>
        </w:rPr>
        <w:footnoteReference w:id="47"/>
      </w:r>
      <w:r>
        <w:rPr>
          <w:rFonts w:ascii="Times New Roman" w:hAnsi="Times New Roman" w:cs="Times New Roman"/>
          <w:sz w:val="24"/>
          <w:szCs w:val="24"/>
          <w:lang w:val="pt-PT"/>
        </w:rPr>
        <w:t xml:space="preserve"> estabelece o compromisso nacional voluntário de adotar medidas que visem à redução das emissões de GEE entre 36,1% e 38,9%, com base no segundo inventário de emissões de GEE não controlados pelo Protocolo de Montreal, concluído em 2010</w:t>
      </w:r>
      <w:r>
        <w:rPr>
          <w:rStyle w:val="Refdenotaderodap"/>
          <w:rFonts w:ascii="Times New Roman" w:hAnsi="Times New Roman" w:cs="Times New Roman"/>
          <w:sz w:val="24"/>
          <w:szCs w:val="24"/>
          <w:lang w:val="pt-PT"/>
        </w:rPr>
        <w:footnoteReference w:id="48"/>
      </w:r>
      <w:r>
        <w:rPr>
          <w:rFonts w:ascii="Times New Roman" w:hAnsi="Times New Roman" w:cs="Times New Roman"/>
          <w:sz w:val="24"/>
          <w:szCs w:val="24"/>
          <w:lang w:val="pt-PT"/>
        </w:rPr>
        <w:t>. Ademais, estabelece que o</w:t>
      </w:r>
      <w:r w:rsidRPr="008E3DA1">
        <w:rPr>
          <w:rFonts w:ascii="Times New Roman" w:hAnsi="Times New Roman" w:cs="Times New Roman"/>
          <w:color w:val="000000"/>
          <w:sz w:val="24"/>
          <w:szCs w:val="24"/>
        </w:rPr>
        <w:t>s princípios, objetivos, diretrizes e instrumentos d</w:t>
      </w:r>
      <w:r>
        <w:rPr>
          <w:rFonts w:ascii="Times New Roman" w:hAnsi="Times New Roman" w:cs="Times New Roman"/>
          <w:color w:val="000000"/>
          <w:sz w:val="24"/>
          <w:szCs w:val="24"/>
        </w:rPr>
        <w:t xml:space="preserve">e outras </w:t>
      </w:r>
      <w:r w:rsidRPr="008E3DA1">
        <w:rPr>
          <w:rFonts w:ascii="Times New Roman" w:hAnsi="Times New Roman" w:cs="Times New Roman"/>
          <w:color w:val="000000"/>
          <w:sz w:val="24"/>
          <w:szCs w:val="24"/>
        </w:rPr>
        <w:t xml:space="preserve">políticas públicas e </w:t>
      </w:r>
      <w:r>
        <w:rPr>
          <w:rFonts w:ascii="Times New Roman" w:hAnsi="Times New Roman" w:cs="Times New Roman"/>
          <w:color w:val="000000"/>
          <w:sz w:val="24"/>
          <w:szCs w:val="24"/>
        </w:rPr>
        <w:t>programas governamentais devem ser compatíveis</w:t>
      </w:r>
      <w:r w:rsidRPr="008E3DA1">
        <w:rPr>
          <w:rFonts w:ascii="Times New Roman" w:hAnsi="Times New Roman" w:cs="Times New Roman"/>
          <w:color w:val="000000"/>
          <w:sz w:val="24"/>
          <w:szCs w:val="24"/>
        </w:rPr>
        <w:t xml:space="preserve"> com </w:t>
      </w:r>
      <w:r>
        <w:rPr>
          <w:rFonts w:ascii="Times New Roman" w:hAnsi="Times New Roman" w:cs="Times New Roman"/>
          <w:color w:val="000000"/>
          <w:sz w:val="24"/>
          <w:szCs w:val="24"/>
        </w:rPr>
        <w:t>aqueles estabelecidos na Política Nacional de Mudanças Climáticas</w:t>
      </w:r>
      <w:r w:rsidRPr="008E3DA1">
        <w:rPr>
          <w:rFonts w:ascii="Times New Roman" w:hAnsi="Times New Roman" w:cs="Times New Roman"/>
          <w:color w:val="000000"/>
          <w:sz w:val="24"/>
          <w:szCs w:val="24"/>
        </w:rPr>
        <w:t>.</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Em 2009, foi instituída no município de São Paulo a Política de Mudança do Clima</w:t>
      </w:r>
      <w:r>
        <w:rPr>
          <w:rStyle w:val="Refdenotaderodap"/>
          <w:rFonts w:ascii="Times New Roman" w:hAnsi="Times New Roman" w:cs="Times New Roman"/>
          <w:sz w:val="24"/>
          <w:szCs w:val="24"/>
          <w:lang w:val="pt-PT"/>
        </w:rPr>
        <w:footnoteReference w:id="49"/>
      </w:r>
      <w:r>
        <w:rPr>
          <w:rFonts w:ascii="Times New Roman" w:hAnsi="Times New Roman" w:cs="Times New Roman"/>
          <w:sz w:val="24"/>
          <w:szCs w:val="24"/>
          <w:lang w:val="pt-PT"/>
        </w:rPr>
        <w:t xml:space="preserve">, com impactos significantes sobre os combustíveis utilizados no transporte público na cidade. Entre os aspectos mais importantes, destacam-se a promoção do uso de energias renováveis e a substituição gradual dos combustíveis fósseis por outros que emitam menos GEE (Seção III, art. 3º), com adoção da meta progressiva de redução de 10% ao ano (no consumo de combustíveis fósseis) a partir de 2009, </w:t>
      </w:r>
      <w:r w:rsidRPr="004F03A7">
        <w:rPr>
          <w:rFonts w:ascii="Times New Roman" w:hAnsi="Times New Roman" w:cs="Times New Roman"/>
          <w:sz w:val="24"/>
          <w:szCs w:val="24"/>
        </w:rPr>
        <w:t>visando</w:t>
      </w:r>
      <w:r>
        <w:rPr>
          <w:rFonts w:ascii="Times New Roman" w:hAnsi="Times New Roman" w:cs="Times New Roman"/>
          <w:sz w:val="24"/>
          <w:szCs w:val="24"/>
          <w:lang w:val="pt-PT"/>
        </w:rPr>
        <w:t xml:space="preserve"> à utilização de combustível renovável por todos os ônibus do sistema</w:t>
      </w:r>
      <w:r w:rsidR="004F03A7">
        <w:rPr>
          <w:rFonts w:ascii="Times New Roman" w:hAnsi="Times New Roman" w:cs="Times New Roman"/>
          <w:sz w:val="24"/>
          <w:szCs w:val="24"/>
          <w:lang w:val="pt-PT"/>
        </w:rPr>
        <w:t xml:space="preserve"> de transporte público do munic</w:t>
      </w:r>
      <w:r w:rsidR="00413A55">
        <w:rPr>
          <w:rFonts w:ascii="Times New Roman" w:hAnsi="Times New Roman" w:cs="Times New Roman"/>
          <w:sz w:val="24"/>
          <w:szCs w:val="24"/>
          <w:lang w:val="pt-PT"/>
        </w:rPr>
        <w:t>í</w:t>
      </w:r>
      <w:r>
        <w:rPr>
          <w:rFonts w:ascii="Times New Roman" w:hAnsi="Times New Roman" w:cs="Times New Roman"/>
          <w:sz w:val="24"/>
          <w:szCs w:val="24"/>
          <w:lang w:val="pt-PT"/>
        </w:rPr>
        <w:t>pio até 2018.</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Políticas locais de redução de emissões de poluentes semelhantes à que foi adotada na cidade de São Paulo também foram observadas em outras capitais, como Curitiba, Belo Horizonte e Rio de Janeiro, e refletem a crescente preocupação com a qualidade do ar nos grandes centros urbanos, vista como uma questão de saúde pública. Em 2011, o Estado do Rio de Janeiro emitiu decreto</w:t>
      </w:r>
      <w:r>
        <w:rPr>
          <w:rStyle w:val="Refdenotaderodap"/>
          <w:rFonts w:ascii="Times New Roman" w:hAnsi="Times New Roman" w:cs="Times New Roman"/>
          <w:sz w:val="24"/>
          <w:szCs w:val="24"/>
          <w:lang w:val="pt-PT"/>
        </w:rPr>
        <w:footnoteReference w:id="50"/>
      </w:r>
      <w:r>
        <w:rPr>
          <w:rFonts w:ascii="Times New Roman" w:hAnsi="Times New Roman" w:cs="Times New Roman"/>
          <w:sz w:val="24"/>
          <w:szCs w:val="24"/>
          <w:lang w:val="pt-PT"/>
        </w:rPr>
        <w:t xml:space="preserve"> que visa a reduz</w:t>
      </w:r>
      <w:r w:rsidR="00384457">
        <w:rPr>
          <w:rFonts w:ascii="Times New Roman" w:hAnsi="Times New Roman" w:cs="Times New Roman"/>
          <w:sz w:val="24"/>
          <w:szCs w:val="24"/>
          <w:lang w:val="pt-PT"/>
        </w:rPr>
        <w:t xml:space="preserve">ir em 30% as emissões de GEE </w:t>
      </w:r>
      <w:r>
        <w:rPr>
          <w:rFonts w:ascii="Times New Roman" w:hAnsi="Times New Roman" w:cs="Times New Roman"/>
          <w:sz w:val="24"/>
          <w:szCs w:val="24"/>
          <w:lang w:val="pt-PT"/>
        </w:rPr>
        <w:t>até 2030 (em relação às emissões de 2010) no setor de transportes. Desse modo, na cidade do Rio de Janeiro, por exemplo, o sistema de transporte público testa uma mistura de 30% de diesel de cana e 70% de diesel S50 em 20 veículos</w:t>
      </w:r>
      <w:r w:rsidR="00184B5A">
        <w:rPr>
          <w:rFonts w:ascii="Times New Roman" w:hAnsi="Times New Roman" w:cs="Times New Roman"/>
          <w:sz w:val="24"/>
          <w:szCs w:val="24"/>
          <w:lang w:val="pt-PT"/>
        </w:rPr>
        <w:t xml:space="preserve"> de</w:t>
      </w:r>
      <w:r>
        <w:rPr>
          <w:rFonts w:ascii="Times New Roman" w:hAnsi="Times New Roman" w:cs="Times New Roman"/>
          <w:sz w:val="24"/>
          <w:szCs w:val="24"/>
          <w:lang w:val="pt-PT"/>
        </w:rPr>
        <w:t xml:space="preserve"> transporte coletivo.</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De acordo com estimativas da São Paulo Transporte S.A. (SPTrans), empresa que gerencia as linhas de ônibus em São Paulo, a frota da cidade consome quase 400 milhões de litros de óleo diesel anualmente. O tamanho desse mercado é um forte atrativo para empresas que buscam introduzir combustíveis renováveis na matriz energética brasileira. Adicionalmente, a proximidade da produção de cana-de-açúcar com grandes centros urbanos contribui para que esse seja um nicho explorado enquanto tais empresas não atingem o estágio de ampla </w:t>
      </w:r>
      <w:r w:rsidRPr="0035119A">
        <w:rPr>
          <w:rFonts w:ascii="Times New Roman" w:hAnsi="Times New Roman" w:cs="Times New Roman"/>
          <w:sz w:val="24"/>
          <w:szCs w:val="24"/>
          <w:lang w:val="pt-PT"/>
        </w:rPr>
        <w:t xml:space="preserve">comercialização. </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Em consequência da Política de Mudança do Clima, foi lançado o Programa Ecofrota em fevereiro de 2011, prevendo a utilização progressiva de combustíveis menos poluentes, como o biodiesel, etanol, diesel de cana e eletricidade, em toda a frota de ônibus de São </w:t>
      </w:r>
      <w:r>
        <w:rPr>
          <w:rFonts w:ascii="Times New Roman" w:hAnsi="Times New Roman" w:cs="Times New Roman"/>
          <w:sz w:val="24"/>
          <w:szCs w:val="24"/>
          <w:lang w:val="pt-PT"/>
        </w:rPr>
        <w:lastRenderedPageBreak/>
        <w:t>Paulo. Atualmente, já existem 50 ônibus circulando com etanol, 1200 utilizam o B-20, enquanto 160 veículos são movidos com mistura que possui 10% de</w:t>
      </w:r>
      <w:r w:rsidRPr="00206637">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diesel de cana, biocombustível produzido pela Amyris. É importante ressaltar que </w:t>
      </w:r>
      <w:r w:rsidRPr="0035119A">
        <w:rPr>
          <w:rFonts w:ascii="Times New Roman" w:hAnsi="Times New Roman" w:cs="Times New Roman"/>
          <w:sz w:val="24"/>
          <w:szCs w:val="24"/>
          <w:lang w:val="pt-PT"/>
        </w:rPr>
        <w:t>o uso de mistura com 10% de diesel de cana e 90% de B5 (d</w:t>
      </w:r>
      <w:r>
        <w:rPr>
          <w:rFonts w:ascii="Times New Roman" w:hAnsi="Times New Roman" w:cs="Times New Roman"/>
          <w:sz w:val="24"/>
          <w:szCs w:val="24"/>
          <w:lang w:val="pt-PT"/>
        </w:rPr>
        <w:t>iesel S50 com 5% de biodiesel) foi autorizado pelo</w:t>
      </w:r>
      <w:r w:rsidRPr="0035119A">
        <w:rPr>
          <w:rFonts w:ascii="Times New Roman" w:hAnsi="Times New Roman" w:cs="Times New Roman"/>
          <w:sz w:val="24"/>
          <w:szCs w:val="24"/>
          <w:lang w:val="pt-PT"/>
        </w:rPr>
        <w:t xml:space="preserve">s principais fabricantes de veículos </w:t>
      </w:r>
      <w:r>
        <w:rPr>
          <w:rFonts w:ascii="Times New Roman" w:hAnsi="Times New Roman" w:cs="Times New Roman"/>
          <w:sz w:val="24"/>
          <w:szCs w:val="24"/>
          <w:lang w:val="pt-PT"/>
        </w:rPr>
        <w:t>comerciais no Brasil</w:t>
      </w:r>
      <w:r w:rsidRPr="0035119A">
        <w:rPr>
          <w:rFonts w:ascii="Times New Roman" w:hAnsi="Times New Roman" w:cs="Times New Roman"/>
          <w:sz w:val="24"/>
          <w:szCs w:val="24"/>
          <w:lang w:val="pt-PT"/>
        </w:rPr>
        <w:t>. A parceria com a Mercedes-Benz e outras fabricantes de ônibus</w:t>
      </w:r>
      <w:r>
        <w:rPr>
          <w:rStyle w:val="Refdenotaderodap"/>
          <w:rFonts w:ascii="Times New Roman" w:hAnsi="Times New Roman" w:cs="Times New Roman"/>
          <w:sz w:val="24"/>
          <w:szCs w:val="24"/>
          <w:lang w:val="pt-PT"/>
        </w:rPr>
        <w:footnoteReference w:id="51"/>
      </w:r>
      <w:r w:rsidRPr="0035119A">
        <w:rPr>
          <w:rFonts w:ascii="Times New Roman" w:hAnsi="Times New Roman" w:cs="Times New Roman"/>
          <w:sz w:val="24"/>
          <w:szCs w:val="24"/>
          <w:lang w:val="pt-PT"/>
        </w:rPr>
        <w:t xml:space="preserve"> foi fundamental para que se iniciasse uma fase experimental. </w:t>
      </w:r>
    </w:p>
    <w:p w:rsidR="00715F5B" w:rsidRDefault="00715F5B" w:rsidP="00715F5B">
      <w:pPr>
        <w:spacing w:line="360" w:lineRule="auto"/>
        <w:rPr>
          <w:rFonts w:ascii="Times New Roman" w:hAnsi="Times New Roman" w:cs="Times New Roman"/>
          <w:sz w:val="24"/>
          <w:szCs w:val="24"/>
          <w:lang w:val="pt-PT"/>
        </w:rPr>
      </w:pPr>
    </w:p>
    <w:p w:rsidR="00715F5B" w:rsidRPr="004973EB" w:rsidRDefault="00715F5B" w:rsidP="00EF5A51">
      <w:pPr>
        <w:pStyle w:val="Ttulo3"/>
      </w:pPr>
      <w:bookmarkStart w:id="128" w:name="_Toc330506374"/>
      <w:bookmarkStart w:id="129" w:name="_Toc333911375"/>
      <w:r>
        <w:t>3.2.5</w:t>
      </w:r>
      <w:r w:rsidRPr="004973EB">
        <w:t xml:space="preserve"> </w:t>
      </w:r>
      <w:bookmarkEnd w:id="128"/>
      <w:r>
        <w:t>A introdução de um novo biocombustível no mercado</w:t>
      </w:r>
      <w:bookmarkEnd w:id="129"/>
    </w:p>
    <w:p w:rsidR="00715F5B" w:rsidRDefault="00715F5B" w:rsidP="00715F5B">
      <w:pPr>
        <w:spacing w:line="360" w:lineRule="auto"/>
        <w:rPr>
          <w:rFonts w:ascii="Times New Roman" w:hAnsi="Times New Roman" w:cs="Times New Roman"/>
          <w:sz w:val="24"/>
          <w:szCs w:val="24"/>
          <w:lang w:val="pt-PT"/>
        </w:rPr>
      </w:pPr>
    </w:p>
    <w:p w:rsidR="0071095E" w:rsidRDefault="00715F5B" w:rsidP="0071095E">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O diesel de cana utilizada atualmente na frota da SPTrans é produzido pela Amyris. Trata-se de uma empresa norte-americana, fundada em 2003, que utiliza biologia sintética para desenvolver medicamentos</w:t>
      </w:r>
      <w:r>
        <w:rPr>
          <w:rStyle w:val="Refdenotaderodap"/>
          <w:rFonts w:ascii="Times New Roman" w:hAnsi="Times New Roman" w:cs="Times New Roman"/>
          <w:sz w:val="24"/>
          <w:szCs w:val="24"/>
          <w:lang w:val="pt-PT"/>
        </w:rPr>
        <w:footnoteReference w:id="52"/>
      </w:r>
      <w:r>
        <w:rPr>
          <w:rFonts w:ascii="Times New Roman" w:hAnsi="Times New Roman" w:cs="Times New Roman"/>
          <w:sz w:val="24"/>
          <w:szCs w:val="24"/>
          <w:lang w:val="pt-PT"/>
        </w:rPr>
        <w:t>,</w:t>
      </w:r>
      <w:r w:rsidRPr="00465F47">
        <w:rPr>
          <w:rFonts w:ascii="Times New Roman" w:hAnsi="Times New Roman" w:cs="Times New Roman"/>
          <w:sz w:val="24"/>
          <w:szCs w:val="24"/>
          <w:lang w:val="pt-PT"/>
        </w:rPr>
        <w:t xml:space="preserve"> </w:t>
      </w:r>
      <w:r>
        <w:rPr>
          <w:rFonts w:ascii="Times New Roman" w:hAnsi="Times New Roman" w:cs="Times New Roman"/>
          <w:sz w:val="24"/>
          <w:szCs w:val="24"/>
          <w:lang w:val="pt-PT"/>
        </w:rPr>
        <w:t>combustíveis renováveis e produtos químicos, como lubrificantes e polímeros.</w:t>
      </w:r>
      <w:r w:rsidR="0071095E" w:rsidRPr="0071095E">
        <w:rPr>
          <w:rFonts w:ascii="Times New Roman" w:hAnsi="Times New Roman" w:cs="Times New Roman"/>
          <w:sz w:val="24"/>
          <w:szCs w:val="24"/>
          <w:lang w:val="pt-PT"/>
        </w:rPr>
        <w:t xml:space="preserve"> </w:t>
      </w:r>
      <w:r w:rsidR="0071095E">
        <w:rPr>
          <w:rFonts w:ascii="Times New Roman" w:hAnsi="Times New Roman" w:cs="Times New Roman"/>
          <w:sz w:val="24"/>
          <w:szCs w:val="24"/>
          <w:lang w:val="pt-PT"/>
        </w:rPr>
        <w:t>A engenharia genética permite que se desenvolvam microorganismos, ou “fábricas vivas”, que produzam moléculas com características desejáveis para aplicação comercial.</w:t>
      </w:r>
      <w:r>
        <w:rPr>
          <w:rFonts w:ascii="Times New Roman" w:hAnsi="Times New Roman" w:cs="Times New Roman"/>
          <w:sz w:val="24"/>
          <w:szCs w:val="24"/>
          <w:lang w:val="pt-PT"/>
        </w:rPr>
        <w:t xml:space="preserve"> Especificamente, a empresa </w:t>
      </w:r>
      <w:r w:rsidR="0071095E">
        <w:rPr>
          <w:rFonts w:ascii="Times New Roman" w:hAnsi="Times New Roman" w:cs="Times New Roman"/>
          <w:sz w:val="24"/>
          <w:szCs w:val="24"/>
          <w:lang w:val="pt-PT"/>
        </w:rPr>
        <w:t>desenvolve</w:t>
      </w:r>
      <w:r w:rsidR="00E71EE3">
        <w:rPr>
          <w:rFonts w:ascii="Times New Roman" w:hAnsi="Times New Roman" w:cs="Times New Roman"/>
          <w:sz w:val="24"/>
          <w:szCs w:val="24"/>
          <w:lang w:val="pt-PT"/>
        </w:rPr>
        <w:t xml:space="preserve"> micro-organismos</w:t>
      </w:r>
      <w:r>
        <w:rPr>
          <w:rFonts w:ascii="Times New Roman" w:hAnsi="Times New Roman" w:cs="Times New Roman"/>
          <w:sz w:val="24"/>
          <w:szCs w:val="24"/>
          <w:lang w:val="pt-PT"/>
        </w:rPr>
        <w:t xml:space="preserve"> que produzem farneseno, uma molécula que serve de base para produção de uma ampla gama de produtos. </w:t>
      </w:r>
      <w:r w:rsidR="00E71EE3">
        <w:rPr>
          <w:rFonts w:ascii="Times New Roman" w:hAnsi="Times New Roman" w:cs="Times New Roman"/>
          <w:sz w:val="24"/>
          <w:szCs w:val="24"/>
          <w:lang w:val="pt-PT"/>
        </w:rPr>
        <w:t>Estratégias semelhantes</w:t>
      </w:r>
      <w:r w:rsidR="00DF6542">
        <w:rPr>
          <w:rFonts w:ascii="Times New Roman" w:hAnsi="Times New Roman" w:cs="Times New Roman"/>
          <w:sz w:val="24"/>
          <w:szCs w:val="24"/>
          <w:lang w:val="pt-PT"/>
        </w:rPr>
        <w:t xml:space="preserve"> também tê</w:t>
      </w:r>
      <w:r>
        <w:rPr>
          <w:rFonts w:ascii="Times New Roman" w:hAnsi="Times New Roman" w:cs="Times New Roman"/>
          <w:sz w:val="24"/>
          <w:szCs w:val="24"/>
          <w:lang w:val="pt-PT"/>
        </w:rPr>
        <w:t>m sido empregada</w:t>
      </w:r>
      <w:r w:rsidR="00DF6542">
        <w:rPr>
          <w:rFonts w:ascii="Times New Roman" w:hAnsi="Times New Roman" w:cs="Times New Roman"/>
          <w:sz w:val="24"/>
          <w:szCs w:val="24"/>
          <w:lang w:val="pt-PT"/>
        </w:rPr>
        <w:t>s</w:t>
      </w:r>
      <w:r>
        <w:rPr>
          <w:rFonts w:ascii="Times New Roman" w:hAnsi="Times New Roman" w:cs="Times New Roman"/>
          <w:sz w:val="24"/>
          <w:szCs w:val="24"/>
          <w:lang w:val="pt-PT"/>
        </w:rPr>
        <w:t xml:space="preserve"> por outras empresas de biotecnologia, como a LS9. </w:t>
      </w:r>
    </w:p>
    <w:p w:rsidR="00715F5B" w:rsidRPr="0071095E" w:rsidRDefault="00715F5B" w:rsidP="0071095E">
      <w:pPr>
        <w:spacing w:line="360" w:lineRule="auto"/>
        <w:ind w:firstLine="708"/>
        <w:rPr>
          <w:rFonts w:ascii="Times New Roman" w:hAnsi="Times New Roman" w:cs="Times New Roman"/>
          <w:color w:val="FF0000"/>
          <w:sz w:val="24"/>
          <w:szCs w:val="24"/>
          <w:lang w:val="pt-PT"/>
        </w:rPr>
      </w:pPr>
      <w:r>
        <w:rPr>
          <w:rFonts w:ascii="Times New Roman" w:hAnsi="Times New Roman" w:cs="Times New Roman"/>
          <w:sz w:val="24"/>
          <w:szCs w:val="24"/>
          <w:lang w:val="pt-PT"/>
        </w:rPr>
        <w:t xml:space="preserve">Em 2009, a Amyris instalou uma planta piloto e uma planta de demonstração na cidade de Campinas, considerando a infraestrutura existente na região para produção de etanol baseado em cana-de-açúcar. Apesar de sua tecnologia ser aplicável a açúcares provenientes de diferentes tipos de biomassa, a empresa viu na cana-de-açúcar brasileira um grande potencial de produção sustentável e competitiva de biocombustíveis. </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Atualmente, sua estratégia de negócio envolve a criação de capacidade produtiva por meio de parcerias com empresas que possuem plantas industriais de açúcar e álcool, com o objetivo de produzir biocombustíveis e outros produtos com maior valor de mercado. Para a Amyris, o modelo é pouco intensivo em capital físico, pois permite que ela aumente a escala de produção sem a necessidade de construir novas plantas completas. Os produtores investem</w:t>
      </w:r>
      <w:r w:rsidRPr="000370F2">
        <w:rPr>
          <w:rFonts w:ascii="Times New Roman" w:hAnsi="Times New Roman" w:cs="Times New Roman"/>
          <w:sz w:val="24"/>
          <w:szCs w:val="24"/>
          <w:lang w:val="pt-PT"/>
        </w:rPr>
        <w:t xml:space="preserve"> todo </w:t>
      </w:r>
      <w:r>
        <w:rPr>
          <w:rFonts w:ascii="Times New Roman" w:hAnsi="Times New Roman" w:cs="Times New Roman"/>
          <w:sz w:val="24"/>
          <w:szCs w:val="24"/>
          <w:lang w:val="pt-PT"/>
        </w:rPr>
        <w:t xml:space="preserve">ou quase todo </w:t>
      </w:r>
      <w:r w:rsidRPr="000370F2">
        <w:rPr>
          <w:rFonts w:ascii="Times New Roman" w:hAnsi="Times New Roman" w:cs="Times New Roman"/>
          <w:sz w:val="24"/>
          <w:szCs w:val="24"/>
          <w:lang w:val="pt-PT"/>
        </w:rPr>
        <w:t>o capital necessário para a construção das i</w:t>
      </w:r>
      <w:r>
        <w:rPr>
          <w:rFonts w:ascii="Times New Roman" w:hAnsi="Times New Roman" w:cs="Times New Roman"/>
          <w:sz w:val="24"/>
          <w:szCs w:val="24"/>
          <w:lang w:val="pt-PT"/>
        </w:rPr>
        <w:t>nstalações necessárias à produção de farneseno, enquanto a Amyris fornece tecnologia</w:t>
      </w:r>
      <w:r w:rsidRPr="000370F2">
        <w:rPr>
          <w:rFonts w:ascii="Times New Roman" w:hAnsi="Times New Roman" w:cs="Times New Roman"/>
          <w:sz w:val="24"/>
          <w:szCs w:val="24"/>
          <w:lang w:val="pt-PT"/>
        </w:rPr>
        <w:t xml:space="preserve"> e conhecimentos técnicos.</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lastRenderedPageBreak/>
        <w:t xml:space="preserve">Empresas de biotecnologia que vêm desenvolvendo a produção de diesel renovável com a utilização de biologia sintética consideram que a parceria com usinas brasileiras de açúcar e álcool podem ser estratégicas para as duas partes, na medida </w:t>
      </w:r>
      <w:r w:rsidR="004846C6">
        <w:rPr>
          <w:rFonts w:ascii="Times New Roman" w:hAnsi="Times New Roman" w:cs="Times New Roman"/>
          <w:sz w:val="24"/>
          <w:szCs w:val="24"/>
          <w:lang w:val="pt-PT"/>
        </w:rPr>
        <w:t xml:space="preserve">em </w:t>
      </w:r>
      <w:r>
        <w:rPr>
          <w:rFonts w:ascii="Times New Roman" w:hAnsi="Times New Roman" w:cs="Times New Roman"/>
          <w:sz w:val="24"/>
          <w:szCs w:val="24"/>
          <w:lang w:val="pt-PT"/>
        </w:rPr>
        <w:t>que a indústria sucro-alcooleira tem visto sua rentabilidade prejudicada, mas conta com uma matéria-prima de muito valor nesse estágio inicial de produção de biocombustíveis avançados: o açúcar.</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Em 2011, a Amyris antecipou a produção de farneseno, utilizando as instalações da Biomin, produtora de rações animais em Piracicaba (SP), que se encontravam ociosas. A produção atingiu escala semi-comercial </w:t>
      </w:r>
      <w:r w:rsidR="00AC518F">
        <w:rPr>
          <w:rFonts w:ascii="Times New Roman" w:hAnsi="Times New Roman" w:cs="Times New Roman"/>
          <w:sz w:val="24"/>
          <w:szCs w:val="24"/>
          <w:lang w:val="pt-PT"/>
        </w:rPr>
        <w:t xml:space="preserve">e </w:t>
      </w:r>
      <w:r>
        <w:rPr>
          <w:rFonts w:ascii="Times New Roman" w:hAnsi="Times New Roman" w:cs="Times New Roman"/>
          <w:sz w:val="24"/>
          <w:szCs w:val="24"/>
          <w:lang w:val="pt-PT"/>
        </w:rPr>
        <w:t xml:space="preserve">foi direcionada ao mercado de cosméticos. Atualmente, estão em construção instalações próprias ao lado da usina Paraíso, que terão capacidade de produção anual de 50 milhões de </w:t>
      </w:r>
      <w:r w:rsidR="00042314">
        <w:rPr>
          <w:rFonts w:ascii="Times New Roman" w:hAnsi="Times New Roman" w:cs="Times New Roman"/>
          <w:sz w:val="24"/>
          <w:szCs w:val="24"/>
          <w:lang w:val="pt-PT"/>
        </w:rPr>
        <w:t>litros de combustível renovável</w:t>
      </w:r>
      <w:r>
        <w:rPr>
          <w:rFonts w:ascii="Times New Roman" w:hAnsi="Times New Roman" w:cs="Times New Roman"/>
          <w:sz w:val="24"/>
          <w:szCs w:val="24"/>
          <w:lang w:val="pt-PT"/>
        </w:rPr>
        <w:t xml:space="preserve">. Há ainda uma </w:t>
      </w:r>
      <w:r w:rsidRPr="00A36300">
        <w:rPr>
          <w:rFonts w:ascii="Times New Roman" w:hAnsi="Times New Roman" w:cs="Times New Roman"/>
          <w:i/>
          <w:sz w:val="24"/>
          <w:szCs w:val="24"/>
          <w:lang w:val="pt-PT"/>
        </w:rPr>
        <w:t>joint venture</w:t>
      </w:r>
      <w:r>
        <w:rPr>
          <w:rFonts w:ascii="Times New Roman" w:hAnsi="Times New Roman" w:cs="Times New Roman"/>
          <w:sz w:val="24"/>
          <w:szCs w:val="24"/>
          <w:lang w:val="pt-PT"/>
        </w:rPr>
        <w:t xml:space="preserve"> com a Usina São Martinho, que permitirá uma produção duas vezes maior, porém está em estágio menos avançado. Com isso, a empresa realiza suas primeiras experiências na fase de comercialização, enquanto decide se o modelo de negócios permitirá o licenciamento da tecnologia contida nas leveduras especiais utilizadas no processo fermentativo.</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Por fim, a participação da Total, empresa petrolífera francesa que se tornou acionista da empresa em 2011, com investimento de aproximadamente US$ 135 milhões, mostra que as parcerias nos diversos segmentos da cadeia de combustíveis (</w:t>
      </w:r>
      <w:r w:rsidRPr="001415AC">
        <w:rPr>
          <w:rFonts w:ascii="Times New Roman" w:hAnsi="Times New Roman" w:cs="Times New Roman"/>
          <w:i/>
          <w:sz w:val="24"/>
          <w:szCs w:val="24"/>
          <w:lang w:val="pt-PT"/>
        </w:rPr>
        <w:t>upstream</w:t>
      </w:r>
      <w:r>
        <w:rPr>
          <w:rFonts w:ascii="Times New Roman" w:hAnsi="Times New Roman" w:cs="Times New Roman"/>
          <w:sz w:val="24"/>
          <w:szCs w:val="24"/>
          <w:lang w:val="pt-PT"/>
        </w:rPr>
        <w:t xml:space="preserve">, </w:t>
      </w:r>
      <w:r w:rsidRPr="001415AC">
        <w:rPr>
          <w:rFonts w:ascii="Times New Roman" w:hAnsi="Times New Roman" w:cs="Times New Roman"/>
          <w:i/>
          <w:sz w:val="24"/>
          <w:szCs w:val="24"/>
          <w:lang w:val="pt-PT"/>
        </w:rPr>
        <w:t>midstream</w:t>
      </w:r>
      <w:r>
        <w:rPr>
          <w:rFonts w:ascii="Times New Roman" w:hAnsi="Times New Roman" w:cs="Times New Roman"/>
          <w:sz w:val="24"/>
          <w:szCs w:val="24"/>
          <w:lang w:val="pt-PT"/>
        </w:rPr>
        <w:t xml:space="preserve"> e </w:t>
      </w:r>
      <w:r w:rsidRPr="001415AC">
        <w:rPr>
          <w:rFonts w:ascii="Times New Roman" w:hAnsi="Times New Roman" w:cs="Times New Roman"/>
          <w:i/>
          <w:sz w:val="24"/>
          <w:szCs w:val="24"/>
          <w:lang w:val="pt-PT"/>
        </w:rPr>
        <w:t>downstream</w:t>
      </w:r>
      <w:r>
        <w:rPr>
          <w:rFonts w:ascii="Times New Roman" w:hAnsi="Times New Roman" w:cs="Times New Roman"/>
          <w:sz w:val="24"/>
          <w:szCs w:val="24"/>
          <w:lang w:val="pt-PT"/>
        </w:rPr>
        <w:t>) têm sido importante elemento da estratégia de introdução de novos combustíveis no mercado.</w:t>
      </w:r>
    </w:p>
    <w:p w:rsidR="00715F5B" w:rsidRPr="00FD129F"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O diesel de cana é um dos combustíveis renováveis produzidos pela Amyris e apresenta características quase idênticas às do óleo diesel. É um produto diferente do biodiesel, tanto por causa do processo de produção, como pelas características do produto final. </w:t>
      </w:r>
      <w:r w:rsidRPr="0035119A">
        <w:rPr>
          <w:rFonts w:ascii="Times New Roman" w:hAnsi="Times New Roman" w:cs="Times New Roman"/>
          <w:sz w:val="24"/>
          <w:szCs w:val="24"/>
          <w:lang w:val="pt-PT"/>
        </w:rPr>
        <w:t xml:space="preserve">Por ser um biocombustível </w:t>
      </w:r>
      <w:r w:rsidRPr="0035119A">
        <w:rPr>
          <w:rFonts w:ascii="Times New Roman" w:hAnsi="Times New Roman" w:cs="Times New Roman"/>
          <w:i/>
          <w:sz w:val="24"/>
          <w:szCs w:val="24"/>
          <w:lang w:val="pt-PT"/>
        </w:rPr>
        <w:t>drop-in</w:t>
      </w:r>
      <w:r>
        <w:rPr>
          <w:rFonts w:ascii="Times New Roman" w:hAnsi="Times New Roman" w:cs="Times New Roman"/>
          <w:sz w:val="24"/>
          <w:szCs w:val="24"/>
          <w:lang w:val="pt-PT"/>
        </w:rPr>
        <w:t xml:space="preserve">, </w:t>
      </w:r>
      <w:r w:rsidRPr="0035119A">
        <w:rPr>
          <w:rFonts w:ascii="Times New Roman" w:hAnsi="Times New Roman" w:cs="Times New Roman"/>
          <w:sz w:val="24"/>
          <w:szCs w:val="24"/>
          <w:lang w:val="pt-PT"/>
        </w:rPr>
        <w:t xml:space="preserve">não exige modificações nos motores nem na infra-estrutura já estabelecida. </w:t>
      </w:r>
      <w:r>
        <w:rPr>
          <w:rFonts w:ascii="Times New Roman" w:hAnsi="Times New Roman" w:cs="Times New Roman"/>
          <w:sz w:val="24"/>
          <w:szCs w:val="24"/>
          <w:lang w:val="pt-PT"/>
        </w:rPr>
        <w:t xml:space="preserve">Segundo o produtor, </w:t>
      </w:r>
      <w:r w:rsidR="00AC518F">
        <w:rPr>
          <w:rFonts w:ascii="Times New Roman" w:hAnsi="Times New Roman" w:cs="Times New Roman"/>
          <w:sz w:val="24"/>
          <w:szCs w:val="24"/>
          <w:lang w:val="pt-PT"/>
        </w:rPr>
        <w:t>não entope os filtros,</w:t>
      </w:r>
      <w:r w:rsidR="00AC518F" w:rsidRPr="005A0123">
        <w:rPr>
          <w:rFonts w:ascii="Times New Roman" w:hAnsi="Times New Roman" w:cs="Times New Roman"/>
          <w:sz w:val="24"/>
          <w:szCs w:val="24"/>
          <w:lang w:val="pt-PT"/>
        </w:rPr>
        <w:t xml:space="preserve"> pode ser armazenado por um longo período de tempo sem degradação</w:t>
      </w:r>
      <w:r w:rsidR="00AC518F">
        <w:rPr>
          <w:rFonts w:ascii="Times New Roman" w:hAnsi="Times New Roman" w:cs="Times New Roman"/>
          <w:sz w:val="24"/>
          <w:szCs w:val="24"/>
          <w:lang w:val="pt-PT"/>
        </w:rPr>
        <w:t xml:space="preserve"> e </w:t>
      </w:r>
      <w:r>
        <w:rPr>
          <w:rFonts w:ascii="Times New Roman" w:hAnsi="Times New Roman" w:cs="Times New Roman"/>
          <w:sz w:val="24"/>
          <w:szCs w:val="24"/>
          <w:lang w:val="pt-PT"/>
        </w:rPr>
        <w:t>seu desempenho é muito bom</w:t>
      </w:r>
      <w:r w:rsidRPr="00B1000C">
        <w:rPr>
          <w:rFonts w:ascii="Times New Roman" w:hAnsi="Times New Roman" w:cs="Times New Roman"/>
          <w:color w:val="FF0000"/>
          <w:sz w:val="24"/>
          <w:szCs w:val="24"/>
          <w:lang w:val="pt-PT"/>
        </w:rPr>
        <w:t xml:space="preserve"> </w:t>
      </w:r>
      <w:r w:rsidRPr="005A0123">
        <w:rPr>
          <w:rFonts w:ascii="Times New Roman" w:hAnsi="Times New Roman" w:cs="Times New Roman"/>
          <w:sz w:val="24"/>
          <w:szCs w:val="24"/>
          <w:lang w:val="pt-PT"/>
        </w:rPr>
        <w:t>mesmo em temperaturas e</w:t>
      </w:r>
      <w:r w:rsidR="00AC518F">
        <w:rPr>
          <w:rFonts w:ascii="Times New Roman" w:hAnsi="Times New Roman" w:cs="Times New Roman"/>
          <w:sz w:val="24"/>
          <w:szCs w:val="24"/>
          <w:lang w:val="pt-PT"/>
        </w:rPr>
        <w:t>xtremamente baixas,</w:t>
      </w:r>
      <w:r w:rsidRPr="005A0123">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o </w:t>
      </w:r>
      <w:r w:rsidRPr="005A0123">
        <w:rPr>
          <w:rFonts w:ascii="Times New Roman" w:hAnsi="Times New Roman" w:cs="Times New Roman"/>
          <w:sz w:val="24"/>
          <w:szCs w:val="24"/>
          <w:lang w:val="pt-PT"/>
        </w:rPr>
        <w:t>que favoreceria seu uso em detrimento do biodiesel.</w:t>
      </w:r>
      <w:r>
        <w:rPr>
          <w:rFonts w:ascii="Times New Roman" w:hAnsi="Times New Roman" w:cs="Times New Roman"/>
          <w:color w:val="FF0000"/>
          <w:sz w:val="24"/>
          <w:szCs w:val="24"/>
          <w:lang w:val="pt-PT"/>
        </w:rPr>
        <w:t xml:space="preserve"> </w:t>
      </w:r>
    </w:p>
    <w:p w:rsidR="00715F5B" w:rsidRPr="0035119A"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Para a realização dos testes com ônibus em São Paulo, a</w:t>
      </w:r>
      <w:r w:rsidRPr="0035119A">
        <w:rPr>
          <w:rFonts w:ascii="Times New Roman" w:hAnsi="Times New Roman" w:cs="Times New Roman"/>
          <w:sz w:val="24"/>
          <w:szCs w:val="24"/>
          <w:lang w:val="pt-PT"/>
        </w:rPr>
        <w:t xml:space="preserve"> única adaptação necessária foi a segregação dos tanques de abastecimento, pois somente alguns ônibus utilizam o novo combustível. Segundo a empresa proprietária da frota utilizada nos testes, a autonomia dos veículos, os níveis de manutenção, os desgaste de peças não foram alterados com a utilização da adição do diesel de cana ao diesel S50.</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O objetivo da Amyris é atingir a produção do farneseno em larga escala e reduzir custos para que os novos produtos sejam competitivos com seus substitutos convencionais. </w:t>
      </w:r>
      <w:r>
        <w:rPr>
          <w:rFonts w:ascii="Times New Roman" w:hAnsi="Times New Roman" w:cs="Times New Roman"/>
          <w:sz w:val="24"/>
          <w:szCs w:val="24"/>
          <w:lang w:val="pt-PT"/>
        </w:rPr>
        <w:lastRenderedPageBreak/>
        <w:t>Enquanto as empresas produtoras de diesel renovável têm dificuldade de atender por completo esses nichos de mercado com a produção atual, os percentuais na mistura de combustível devem permanecer relativamente baixos.</w:t>
      </w:r>
      <w:r w:rsidRPr="00206637">
        <w:rPr>
          <w:rFonts w:ascii="Times New Roman" w:hAnsi="Times New Roman" w:cs="Times New Roman"/>
          <w:sz w:val="24"/>
          <w:szCs w:val="24"/>
          <w:lang w:val="pt-PT"/>
        </w:rPr>
        <w:t xml:space="preserve"> </w:t>
      </w:r>
      <w:r>
        <w:rPr>
          <w:rFonts w:ascii="Times New Roman" w:hAnsi="Times New Roman" w:cs="Times New Roman"/>
          <w:sz w:val="24"/>
          <w:szCs w:val="24"/>
          <w:lang w:val="pt-PT"/>
        </w:rPr>
        <w:t>Entretanto, estima-se que, caso o diesel de cana substituísse 100% do diesel convencional, a redução na emissão de poluentes poderia chegar a 90%. Além disso, ele não possui enxofre e as emissões de óxidos de nitrogênio, monóxido de carbono e partículas são inferiores</w:t>
      </w:r>
      <w:r>
        <w:rPr>
          <w:rStyle w:val="Refdenotaderodap"/>
          <w:rFonts w:ascii="Times New Roman" w:hAnsi="Times New Roman" w:cs="Times New Roman"/>
          <w:sz w:val="24"/>
          <w:szCs w:val="24"/>
          <w:lang w:val="pt-PT"/>
        </w:rPr>
        <w:footnoteReference w:id="53"/>
      </w:r>
      <w:r>
        <w:rPr>
          <w:rFonts w:ascii="Times New Roman" w:hAnsi="Times New Roman" w:cs="Times New Roman"/>
          <w:sz w:val="24"/>
          <w:szCs w:val="24"/>
          <w:lang w:val="pt-PT"/>
        </w:rPr>
        <w:t xml:space="preserve">.  </w:t>
      </w:r>
    </w:p>
    <w:p w:rsidR="00715F5B" w:rsidRDefault="00715F5B" w:rsidP="00715F5B">
      <w:pPr>
        <w:spacing w:line="360" w:lineRule="auto"/>
        <w:rPr>
          <w:rFonts w:ascii="Times New Roman" w:hAnsi="Times New Roman" w:cs="Times New Roman"/>
          <w:sz w:val="24"/>
          <w:szCs w:val="24"/>
          <w:lang w:val="pt-PT"/>
        </w:rPr>
      </w:pPr>
    </w:p>
    <w:p w:rsidR="00715F5B" w:rsidRPr="004973EB" w:rsidRDefault="00715F5B" w:rsidP="00EF5A51">
      <w:pPr>
        <w:pStyle w:val="Ttulo3"/>
      </w:pPr>
      <w:bookmarkStart w:id="130" w:name="_Toc330506376"/>
      <w:bookmarkStart w:id="131" w:name="_Toc333911376"/>
      <w:r>
        <w:t>3.2.6</w:t>
      </w:r>
      <w:r w:rsidRPr="004973EB">
        <w:t xml:space="preserve"> A regulação e as novas políticas</w:t>
      </w:r>
      <w:bookmarkEnd w:id="130"/>
      <w:bookmarkEnd w:id="131"/>
      <w:r w:rsidRPr="004973EB">
        <w:t xml:space="preserve"> </w:t>
      </w:r>
    </w:p>
    <w:p w:rsidR="00715F5B" w:rsidRDefault="00715F5B" w:rsidP="00715F5B">
      <w:pPr>
        <w:spacing w:line="360" w:lineRule="auto"/>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Com a introdução de novas medidas governamentais, a exemplo do PAISS ou da necessidade de redução das emissões de GEE nos grandes centros urbanos do país, a regulação precisa se adequar ao novo contexto sócio-técnico-econômico. Interagindo com as políticas públicas que vem sendo orientadas à produção de combustíveis renováveis, as empresas buscam desenvolver produtos pautados no conceito de sustentabilidade (ambiental, econômica e social).</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Nos Estados Unidos, o diesel de cana foi o primeiro diesel derivado de biomassa a receber o regist</w:t>
      </w:r>
      <w:r w:rsidR="00142DA8">
        <w:rPr>
          <w:rFonts w:ascii="Times New Roman" w:hAnsi="Times New Roman" w:cs="Times New Roman"/>
          <w:sz w:val="24"/>
          <w:szCs w:val="24"/>
          <w:lang w:val="pt-PT"/>
        </w:rPr>
        <w:t>r</w:t>
      </w:r>
      <w:r>
        <w:rPr>
          <w:rFonts w:ascii="Times New Roman" w:hAnsi="Times New Roman" w:cs="Times New Roman"/>
          <w:sz w:val="24"/>
          <w:szCs w:val="24"/>
          <w:lang w:val="pt-PT"/>
        </w:rPr>
        <w:t>o da Agênc</w:t>
      </w:r>
      <w:r w:rsidR="00AC518F">
        <w:rPr>
          <w:rFonts w:ascii="Times New Roman" w:hAnsi="Times New Roman" w:cs="Times New Roman"/>
          <w:sz w:val="24"/>
          <w:szCs w:val="24"/>
          <w:lang w:val="pt-PT"/>
        </w:rPr>
        <w:t xml:space="preserve">ia de Proteção Ambiental (EPA). </w:t>
      </w:r>
      <w:r w:rsidRPr="003F26F6">
        <w:rPr>
          <w:rFonts w:ascii="Times New Roman" w:hAnsi="Times New Roman" w:cs="Times New Roman"/>
          <w:sz w:val="24"/>
          <w:szCs w:val="24"/>
          <w:lang w:val="pt-PT"/>
        </w:rPr>
        <w:t>Pelo critério de</w:t>
      </w:r>
      <w:r>
        <w:rPr>
          <w:rFonts w:ascii="Times New Roman" w:hAnsi="Times New Roman" w:cs="Times New Roman"/>
          <w:sz w:val="24"/>
          <w:szCs w:val="24"/>
          <w:lang w:val="pt-PT"/>
        </w:rPr>
        <w:t xml:space="preserve"> “substancialmente similar”</w:t>
      </w:r>
      <w:r w:rsidRPr="003F26F6">
        <w:rPr>
          <w:rFonts w:ascii="Times New Roman" w:hAnsi="Times New Roman" w:cs="Times New Roman"/>
          <w:sz w:val="24"/>
          <w:szCs w:val="24"/>
          <w:lang w:val="pt-PT"/>
        </w:rPr>
        <w:t>, o diesel de cana pode ser comercializado em proporção de até 35% (a confirmar com responsável da Amyris). Contudo, o foco da empresa para comercialização do produto está voltado para mercados próximos às fontes de matéria-prima, como a região sudeste brasileira.</w:t>
      </w:r>
    </w:p>
    <w:p w:rsidR="00042314" w:rsidRDefault="00042314" w:rsidP="00042314">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Apesar das vantagen</w:t>
      </w:r>
      <w:r w:rsidR="00146FFB">
        <w:rPr>
          <w:rFonts w:ascii="Times New Roman" w:hAnsi="Times New Roman" w:cs="Times New Roman"/>
          <w:sz w:val="24"/>
          <w:szCs w:val="24"/>
          <w:lang w:val="pt-PT"/>
        </w:rPr>
        <w:t xml:space="preserve">s mencionadas na seção anterior e de sua </w:t>
      </w:r>
      <w:r w:rsidR="00146FFB">
        <w:rPr>
          <w:rFonts w:ascii="Times New Roman" w:hAnsi="Times New Roman" w:cs="Times New Roman"/>
          <w:sz w:val="24"/>
          <w:szCs w:val="24"/>
        </w:rPr>
        <w:t xml:space="preserve">compatibilidade com as especificações do diesel mineral, </w:t>
      </w:r>
      <w:r w:rsidR="00146FFB">
        <w:rPr>
          <w:rFonts w:ascii="Times New Roman" w:hAnsi="Times New Roman" w:cs="Times New Roman"/>
          <w:sz w:val="24"/>
          <w:szCs w:val="24"/>
          <w:lang w:val="pt-PT"/>
        </w:rPr>
        <w:t>o diesel de cana</w:t>
      </w:r>
      <w:r w:rsidR="00146FFB">
        <w:rPr>
          <w:rFonts w:ascii="Times New Roman" w:hAnsi="Times New Roman" w:cs="Times New Roman"/>
          <w:sz w:val="24"/>
          <w:szCs w:val="24"/>
        </w:rPr>
        <w:t xml:space="preserve"> não atende à especificação de biodiesel da ANP</w:t>
      </w:r>
      <w:r>
        <w:rPr>
          <w:rFonts w:ascii="Times New Roman" w:hAnsi="Times New Roman" w:cs="Times New Roman"/>
          <w:sz w:val="24"/>
          <w:szCs w:val="24"/>
          <w:lang w:val="pt-PT"/>
        </w:rPr>
        <w:t>,</w:t>
      </w:r>
      <w:r w:rsidR="00715F5B">
        <w:rPr>
          <w:rFonts w:ascii="Times New Roman" w:hAnsi="Times New Roman" w:cs="Times New Roman"/>
          <w:sz w:val="24"/>
          <w:szCs w:val="24"/>
          <w:lang w:val="pt-PT"/>
        </w:rPr>
        <w:t xml:space="preserve"> responsável </w:t>
      </w:r>
      <w:r w:rsidR="00AC518F">
        <w:rPr>
          <w:rFonts w:ascii="Times New Roman" w:hAnsi="Times New Roman" w:cs="Times New Roman"/>
          <w:sz w:val="24"/>
          <w:szCs w:val="24"/>
          <w:lang w:val="pt-PT"/>
        </w:rPr>
        <w:t xml:space="preserve">não só </w:t>
      </w:r>
      <w:r w:rsidR="00715F5B">
        <w:rPr>
          <w:rFonts w:ascii="Times New Roman" w:hAnsi="Times New Roman" w:cs="Times New Roman"/>
          <w:sz w:val="24"/>
          <w:szCs w:val="24"/>
          <w:lang w:val="pt-PT"/>
        </w:rPr>
        <w:t>por regulam</w:t>
      </w:r>
      <w:r>
        <w:rPr>
          <w:rFonts w:ascii="Times New Roman" w:hAnsi="Times New Roman" w:cs="Times New Roman"/>
          <w:sz w:val="24"/>
          <w:szCs w:val="24"/>
          <w:lang w:val="pt-PT"/>
        </w:rPr>
        <w:t>entar a produção, distribuição e comercialização de</w:t>
      </w:r>
      <w:r w:rsidR="00AC518F">
        <w:rPr>
          <w:rFonts w:ascii="Times New Roman" w:hAnsi="Times New Roman" w:cs="Times New Roman"/>
          <w:sz w:val="24"/>
          <w:szCs w:val="24"/>
          <w:lang w:val="pt-PT"/>
        </w:rPr>
        <w:t xml:space="preserve"> combustíveis líquidos, mas também</w:t>
      </w:r>
      <w:r>
        <w:rPr>
          <w:rFonts w:ascii="Times New Roman" w:hAnsi="Times New Roman" w:cs="Times New Roman"/>
          <w:sz w:val="24"/>
          <w:szCs w:val="24"/>
          <w:lang w:val="pt-PT"/>
        </w:rPr>
        <w:t xml:space="preserve"> avaliar sua</w:t>
      </w:r>
      <w:r w:rsidR="00715F5B" w:rsidRPr="003F26F6">
        <w:rPr>
          <w:rFonts w:ascii="Times New Roman" w:hAnsi="Times New Roman" w:cs="Times New Roman"/>
          <w:sz w:val="24"/>
          <w:szCs w:val="24"/>
          <w:lang w:val="pt-PT"/>
        </w:rPr>
        <w:t xml:space="preserve"> conformidade e </w:t>
      </w:r>
      <w:r>
        <w:rPr>
          <w:rFonts w:ascii="Times New Roman" w:hAnsi="Times New Roman" w:cs="Times New Roman"/>
          <w:sz w:val="24"/>
          <w:szCs w:val="24"/>
          <w:lang w:val="pt-PT"/>
        </w:rPr>
        <w:t>qualidade</w:t>
      </w:r>
      <w:r w:rsidR="00715F5B" w:rsidRPr="003F26F6">
        <w:rPr>
          <w:rFonts w:ascii="Times New Roman" w:hAnsi="Times New Roman" w:cs="Times New Roman"/>
          <w:sz w:val="24"/>
          <w:szCs w:val="24"/>
          <w:lang w:val="pt-PT"/>
        </w:rPr>
        <w:t xml:space="preserve">. </w:t>
      </w:r>
      <w:r>
        <w:rPr>
          <w:rFonts w:ascii="Times New Roman" w:hAnsi="Times New Roman" w:cs="Times New Roman"/>
          <w:sz w:val="24"/>
          <w:szCs w:val="24"/>
          <w:lang w:val="pt-PT"/>
        </w:rPr>
        <w:t>A Resolução Nº 7</w:t>
      </w:r>
      <w:r w:rsidR="00EA73AE">
        <w:rPr>
          <w:rFonts w:ascii="Times New Roman" w:hAnsi="Times New Roman" w:cs="Times New Roman"/>
          <w:sz w:val="24"/>
          <w:szCs w:val="24"/>
          <w:lang w:val="pt-PT"/>
        </w:rPr>
        <w:t>, de 19/03/2008,</w:t>
      </w:r>
      <w:r>
        <w:rPr>
          <w:rFonts w:ascii="Times New Roman" w:hAnsi="Times New Roman" w:cs="Times New Roman"/>
          <w:sz w:val="24"/>
          <w:szCs w:val="24"/>
          <w:lang w:val="pt-PT"/>
        </w:rPr>
        <w:t xml:space="preserve"> define o biodiesel como “</w:t>
      </w:r>
      <w:r w:rsidRPr="00042314">
        <w:rPr>
          <w:rFonts w:ascii="Times New Roman" w:hAnsi="Times New Roman" w:cs="Times New Roman"/>
          <w:sz w:val="24"/>
          <w:szCs w:val="24"/>
          <w:lang w:val="pt-PT"/>
        </w:rPr>
        <w:t>combustível composto de alquil ésteres de ácidos graxos de cadeia longa, derivados de óleos vegetais ou de gorduras animais</w:t>
      </w:r>
      <w:r w:rsidR="00A305B8">
        <w:rPr>
          <w:rFonts w:ascii="Times New Roman" w:hAnsi="Times New Roman" w:cs="Times New Roman"/>
          <w:sz w:val="24"/>
          <w:szCs w:val="24"/>
          <w:lang w:val="pt-PT"/>
        </w:rPr>
        <w:t>”, estando sujeito ainda às especificações contidas no regulamento técnico anexado à resolução.</w:t>
      </w:r>
    </w:p>
    <w:p w:rsidR="00715F5B" w:rsidRDefault="00715F5B" w:rsidP="00715F5B">
      <w:pPr>
        <w:spacing w:line="360" w:lineRule="auto"/>
        <w:ind w:firstLine="708"/>
        <w:rPr>
          <w:rFonts w:ascii="Times New Roman" w:hAnsi="Times New Roman" w:cs="Times New Roman"/>
          <w:sz w:val="24"/>
          <w:szCs w:val="24"/>
          <w:lang w:val="pt-PT"/>
        </w:rPr>
      </w:pPr>
      <w:r w:rsidRPr="003F26F6">
        <w:rPr>
          <w:rFonts w:ascii="Times New Roman" w:hAnsi="Times New Roman" w:cs="Times New Roman"/>
          <w:sz w:val="24"/>
          <w:szCs w:val="24"/>
          <w:lang w:val="pt-PT"/>
        </w:rPr>
        <w:t>Assim, a utilização do diesel de cana por parte da frota de ônibus nas cidades de São Paulo e Rio de Janeiro é regida pela Resolução Nº 19,</w:t>
      </w:r>
      <w:r>
        <w:rPr>
          <w:rFonts w:ascii="Times New Roman" w:hAnsi="Times New Roman" w:cs="Times New Roman"/>
          <w:sz w:val="24"/>
          <w:szCs w:val="24"/>
          <w:lang w:val="pt-PT"/>
        </w:rPr>
        <w:t xml:space="preserve"> de 22/06/2007, que sujeita o uso experimental de combustíveis não especificados (produto ou mistura contendo um ou mais combustíveis especificados pela ANP que substitui algum combustível regulado), acima de 10 mil litros por mês, à autorização da ANP. O uso experimental se destina ao consumo em </w:t>
      </w:r>
      <w:r>
        <w:rPr>
          <w:rFonts w:ascii="Times New Roman" w:hAnsi="Times New Roman" w:cs="Times New Roman"/>
          <w:sz w:val="24"/>
          <w:szCs w:val="24"/>
          <w:lang w:val="pt-PT"/>
        </w:rPr>
        <w:lastRenderedPageBreak/>
        <w:t>quantidade delimitada e por prazo determinado, em frota cativa ou equipamento industrial, com a finalidade de se avaliar o combustível não especificado e compará-lo ao combustível a ser substituído.</w:t>
      </w:r>
      <w:r w:rsidRPr="00D76614">
        <w:rPr>
          <w:rFonts w:ascii="Times New Roman" w:hAnsi="Times New Roman" w:cs="Times New Roman"/>
          <w:sz w:val="24"/>
          <w:szCs w:val="24"/>
          <w:lang w:val="pt-PT"/>
        </w:rPr>
        <w:t xml:space="preserve"> </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 O incentivo à pesquisa de novos combustíveis e a necessidade de que estes passem por testes controlados antes de serem introduzidos no mercado são aspectos relevantes levados em consideração por esta Resolução. Fica </w:t>
      </w:r>
      <w:r w:rsidR="00CA62A2">
        <w:rPr>
          <w:rFonts w:ascii="Times New Roman" w:hAnsi="Times New Roman" w:cs="Times New Roman"/>
          <w:sz w:val="24"/>
          <w:szCs w:val="24"/>
          <w:lang w:val="pt-PT"/>
        </w:rPr>
        <w:t xml:space="preserve">também </w:t>
      </w:r>
      <w:r>
        <w:rPr>
          <w:rFonts w:ascii="Times New Roman" w:hAnsi="Times New Roman" w:cs="Times New Roman"/>
          <w:sz w:val="24"/>
          <w:szCs w:val="24"/>
          <w:lang w:val="pt-PT"/>
        </w:rPr>
        <w:t>explícita a preocupação com a existência de resultados que possam fundamentar possíveis es</w:t>
      </w:r>
      <w:r w:rsidR="00CA62A2">
        <w:rPr>
          <w:rFonts w:ascii="Times New Roman" w:hAnsi="Times New Roman" w:cs="Times New Roman"/>
          <w:sz w:val="24"/>
          <w:szCs w:val="24"/>
          <w:lang w:val="pt-PT"/>
        </w:rPr>
        <w:t>pecificações futuras. O texto da Resolução</w:t>
      </w:r>
      <w:r>
        <w:rPr>
          <w:rFonts w:ascii="Times New Roman" w:hAnsi="Times New Roman" w:cs="Times New Roman"/>
          <w:sz w:val="24"/>
          <w:szCs w:val="24"/>
          <w:lang w:val="pt-PT"/>
        </w:rPr>
        <w:t xml:space="preserve"> afirma que, a partir dos relatórios apresentados pelo requerente durante o período de uso experimental, a ANP avalia a “conveniência de definir a especificação dos correspondentes combustíveis para sua comercialização” (Art. 12).</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Um dos possíveis obstáculos à obtenção da autorização para uso experimental sob a Resolução Nº 19 seria a licença do órgão ambiental competente.  Além disso, a resolução limita o consumo mensal a 100.000 litros por mês. A autorização é válida por tempo determinado e, apesar de estar</w:t>
      </w:r>
      <w:r w:rsidRPr="006631EE">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sujeita à prestação de informações por meio de relatórios periódicos contendo o perfil de consumo e o histórico de manutenções, existe a possibilidade de prorrogação. </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Diante da limitação de quantidade, surgiu a necessidade de se regulamentar o consumo de biocombustíveis não especificad</w:t>
      </w:r>
      <w:r w:rsidR="00CA62A2">
        <w:rPr>
          <w:rFonts w:ascii="Times New Roman" w:hAnsi="Times New Roman" w:cs="Times New Roman"/>
          <w:sz w:val="24"/>
          <w:szCs w:val="24"/>
          <w:lang w:val="pt-PT"/>
        </w:rPr>
        <w:t>os que altrapassa</w:t>
      </w:r>
      <w:r>
        <w:rPr>
          <w:rFonts w:ascii="Times New Roman" w:hAnsi="Times New Roman" w:cs="Times New Roman"/>
          <w:sz w:val="24"/>
          <w:szCs w:val="24"/>
          <w:lang w:val="pt-PT"/>
        </w:rPr>
        <w:t xml:space="preserve"> os 100.000 litros mensais. Apesar de não refletir necessariamente o posicionamento institucional definitivo da ANP, a </w:t>
      </w:r>
      <w:r w:rsidRPr="003F26F6">
        <w:rPr>
          <w:rFonts w:ascii="Times New Roman" w:hAnsi="Times New Roman" w:cs="Times New Roman"/>
          <w:sz w:val="24"/>
          <w:szCs w:val="24"/>
          <w:lang w:val="pt-PT"/>
        </w:rPr>
        <w:t xml:space="preserve">nota técnica Nº 75/2012/SBQ publicada pela Agência propõe um novo </w:t>
      </w:r>
      <w:r>
        <w:rPr>
          <w:rFonts w:ascii="Times New Roman" w:hAnsi="Times New Roman" w:cs="Times New Roman"/>
          <w:sz w:val="24"/>
          <w:szCs w:val="24"/>
          <w:lang w:val="pt-PT"/>
        </w:rPr>
        <w:t>regulamento para o uso de biocombustíveis não especificados no Brasil, que amplia o escopo da regulamentação estabelecida pela Resolução Nº 19. A criação deste regulamento tem como motivação justamente a crescente demanda pela utilização de novos biocombustíveis, liderada pelas políticas municipais que visam a reduzir a emissão de poluentes em seus sistemas de transporte público. A ANP busca, portanto, estabelecer regras para o uso de biocombustíveis não especificados e acompanhar as inovações dessa indústria.</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Além da nota técnica, foi publicada uma minuta de resolução que serviu de base para a consulta pública e elaboração do novo regulamento para uso de biocombustíveis não especificados, proposto pela nota técnica acima mencionada. A proposta do novo regulamento inclui a possibilidade de </w:t>
      </w:r>
      <w:r w:rsidRPr="00733BD1">
        <w:rPr>
          <w:rFonts w:ascii="Times New Roman" w:hAnsi="Times New Roman" w:cs="Times New Roman"/>
          <w:i/>
          <w:sz w:val="24"/>
          <w:szCs w:val="24"/>
          <w:lang w:val="pt-PT"/>
        </w:rPr>
        <w:t>uso específico</w:t>
      </w:r>
      <w:r>
        <w:rPr>
          <w:rFonts w:ascii="Times New Roman" w:hAnsi="Times New Roman" w:cs="Times New Roman"/>
          <w:sz w:val="24"/>
          <w:szCs w:val="24"/>
          <w:lang w:val="pt-PT"/>
        </w:rPr>
        <w:t xml:space="preserve">, distinto do uso experimental. A autorização para </w:t>
      </w:r>
      <w:r w:rsidRPr="003F26F6">
        <w:rPr>
          <w:rFonts w:ascii="Times New Roman" w:hAnsi="Times New Roman" w:cs="Times New Roman"/>
          <w:sz w:val="24"/>
          <w:szCs w:val="24"/>
          <w:lang w:val="pt-PT"/>
        </w:rPr>
        <w:t xml:space="preserve">uso experimental </w:t>
      </w:r>
      <w:r>
        <w:rPr>
          <w:rFonts w:ascii="Times New Roman" w:hAnsi="Times New Roman" w:cs="Times New Roman"/>
          <w:sz w:val="24"/>
          <w:szCs w:val="24"/>
          <w:lang w:val="pt-PT"/>
        </w:rPr>
        <w:t>teria um prazo determinado, prevendo</w:t>
      </w:r>
      <w:r w:rsidRPr="003F26F6">
        <w:rPr>
          <w:rFonts w:ascii="Times New Roman" w:hAnsi="Times New Roman" w:cs="Times New Roman"/>
          <w:sz w:val="24"/>
          <w:szCs w:val="24"/>
          <w:lang w:val="pt-PT"/>
        </w:rPr>
        <w:t xml:space="preserve"> que o consumo mensal deve</w:t>
      </w:r>
      <w:r>
        <w:rPr>
          <w:rFonts w:ascii="Times New Roman" w:hAnsi="Times New Roman" w:cs="Times New Roman"/>
          <w:sz w:val="24"/>
          <w:szCs w:val="24"/>
          <w:lang w:val="pt-PT"/>
        </w:rPr>
        <w:t xml:space="preserve"> pe</w:t>
      </w:r>
      <w:r w:rsidR="00CA62A2">
        <w:rPr>
          <w:rFonts w:ascii="Times New Roman" w:hAnsi="Times New Roman" w:cs="Times New Roman"/>
          <w:sz w:val="24"/>
          <w:szCs w:val="24"/>
          <w:lang w:val="pt-PT"/>
        </w:rPr>
        <w:t xml:space="preserve">rmanecer limitado a 100.000 </w:t>
      </w:r>
      <w:r>
        <w:rPr>
          <w:rFonts w:ascii="Times New Roman" w:hAnsi="Times New Roman" w:cs="Times New Roman"/>
          <w:sz w:val="24"/>
          <w:szCs w:val="24"/>
          <w:lang w:val="pt-PT"/>
        </w:rPr>
        <w:t xml:space="preserve">litros. A finalidade do </w:t>
      </w:r>
      <w:r w:rsidRPr="009326AE">
        <w:rPr>
          <w:rFonts w:ascii="Times New Roman" w:hAnsi="Times New Roman" w:cs="Times New Roman"/>
          <w:i/>
          <w:sz w:val="24"/>
          <w:szCs w:val="24"/>
          <w:lang w:val="pt-PT"/>
        </w:rPr>
        <w:t>uso experimental</w:t>
      </w:r>
      <w:r w:rsidR="00CA62A2">
        <w:rPr>
          <w:rFonts w:ascii="Times New Roman" w:hAnsi="Times New Roman" w:cs="Times New Roman"/>
          <w:sz w:val="24"/>
          <w:szCs w:val="24"/>
          <w:lang w:val="pt-PT"/>
        </w:rPr>
        <w:t xml:space="preserve"> continua sendo a avaliação</w:t>
      </w:r>
      <w:r>
        <w:rPr>
          <w:rFonts w:ascii="Times New Roman" w:hAnsi="Times New Roman" w:cs="Times New Roman"/>
          <w:sz w:val="24"/>
          <w:szCs w:val="24"/>
          <w:lang w:val="pt-PT"/>
        </w:rPr>
        <w:t xml:space="preserve"> </w:t>
      </w:r>
      <w:r w:rsidR="00CA62A2">
        <w:rPr>
          <w:rFonts w:ascii="Times New Roman" w:hAnsi="Times New Roman" w:cs="Times New Roman"/>
          <w:sz w:val="24"/>
          <w:szCs w:val="24"/>
          <w:lang w:val="pt-PT"/>
        </w:rPr>
        <w:t>d</w:t>
      </w:r>
      <w:r>
        <w:rPr>
          <w:rFonts w:ascii="Times New Roman" w:hAnsi="Times New Roman" w:cs="Times New Roman"/>
          <w:sz w:val="24"/>
          <w:szCs w:val="24"/>
          <w:lang w:val="pt-PT"/>
        </w:rPr>
        <w:t>o desempenho do combustível não especificado e</w:t>
      </w:r>
      <w:r w:rsidR="00CA62A2">
        <w:rPr>
          <w:rFonts w:ascii="Times New Roman" w:hAnsi="Times New Roman" w:cs="Times New Roman"/>
          <w:sz w:val="24"/>
          <w:szCs w:val="24"/>
          <w:lang w:val="pt-PT"/>
        </w:rPr>
        <w:t xml:space="preserve"> sua comparação</w:t>
      </w:r>
      <w:r>
        <w:rPr>
          <w:rFonts w:ascii="Times New Roman" w:hAnsi="Times New Roman" w:cs="Times New Roman"/>
          <w:sz w:val="24"/>
          <w:szCs w:val="24"/>
          <w:lang w:val="pt-PT"/>
        </w:rPr>
        <w:t xml:space="preserve"> com o do combustível especificado que se deseja substitutir. Os resultados deverão ser reportados à ANP por meio </w:t>
      </w:r>
      <w:r>
        <w:rPr>
          <w:rFonts w:ascii="Times New Roman" w:hAnsi="Times New Roman" w:cs="Times New Roman"/>
          <w:sz w:val="24"/>
          <w:szCs w:val="24"/>
          <w:lang w:val="pt-PT"/>
        </w:rPr>
        <w:lastRenderedPageBreak/>
        <w:t>de relatórios contendo emissões, desempenho e durabilidade dos motores em testes de bancada, além das substâncias emitidas e riscos a elas associados.</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Já a autorização para o</w:t>
      </w:r>
      <w:r w:rsidRPr="00623238">
        <w:rPr>
          <w:rFonts w:ascii="Times New Roman" w:hAnsi="Times New Roman" w:cs="Times New Roman"/>
          <w:sz w:val="24"/>
          <w:szCs w:val="24"/>
          <w:lang w:val="pt-PT"/>
        </w:rPr>
        <w:t xml:space="preserve"> </w:t>
      </w:r>
      <w:r w:rsidRPr="009326AE">
        <w:rPr>
          <w:rFonts w:ascii="Times New Roman" w:hAnsi="Times New Roman" w:cs="Times New Roman"/>
          <w:i/>
          <w:sz w:val="24"/>
          <w:szCs w:val="24"/>
          <w:lang w:val="pt-PT"/>
        </w:rPr>
        <w:t>uso específico</w:t>
      </w:r>
      <w:r w:rsidRPr="00623238">
        <w:rPr>
          <w:rFonts w:ascii="Times New Roman" w:hAnsi="Times New Roman" w:cs="Times New Roman"/>
          <w:sz w:val="24"/>
          <w:szCs w:val="24"/>
          <w:lang w:val="pt-PT"/>
        </w:rPr>
        <w:t xml:space="preserve"> </w:t>
      </w:r>
      <w:r>
        <w:rPr>
          <w:rFonts w:ascii="Times New Roman" w:hAnsi="Times New Roman" w:cs="Times New Roman"/>
          <w:sz w:val="24"/>
          <w:szCs w:val="24"/>
          <w:lang w:val="pt-PT"/>
        </w:rPr>
        <w:t>poderia ser conce</w:t>
      </w:r>
      <w:r w:rsidR="00CA62A2">
        <w:rPr>
          <w:rFonts w:ascii="Times New Roman" w:hAnsi="Times New Roman" w:cs="Times New Roman"/>
          <w:sz w:val="24"/>
          <w:szCs w:val="24"/>
          <w:lang w:val="pt-PT"/>
        </w:rPr>
        <w:t xml:space="preserve">dida a agentes que tenham por </w:t>
      </w:r>
      <w:r>
        <w:rPr>
          <w:rFonts w:ascii="Times New Roman" w:hAnsi="Times New Roman" w:cs="Times New Roman"/>
          <w:sz w:val="24"/>
          <w:szCs w:val="24"/>
          <w:lang w:val="pt-PT"/>
        </w:rPr>
        <w:t xml:space="preserve">finalidade a substituição total ou parcial de combustíveis já especificados pela ANP, sem limitação de quantidade mensal consumida, desde que o combustível não especificado tenha passado por período de uso experimental e o prazo da autorização tenha expirado, </w:t>
      </w:r>
      <w:r w:rsidRPr="00623238">
        <w:rPr>
          <w:rFonts w:ascii="Times New Roman" w:hAnsi="Times New Roman" w:cs="Times New Roman"/>
          <w:sz w:val="24"/>
          <w:szCs w:val="24"/>
          <w:lang w:val="pt-PT"/>
        </w:rPr>
        <w:t>ou ainda</w:t>
      </w:r>
      <w:r>
        <w:rPr>
          <w:rFonts w:ascii="Times New Roman" w:hAnsi="Times New Roman" w:cs="Times New Roman"/>
          <w:sz w:val="24"/>
          <w:szCs w:val="24"/>
          <w:lang w:val="pt-PT"/>
        </w:rPr>
        <w:t xml:space="preserve"> caso tenham sido realizados testes por, no mínimo, seis meses, com consumo mensal inferior a 10.000 litros. Neste último caso, será solicitada documentação específica, similar à requerida para uso experimental. E assim como na Resolução Nº 19, a licença ou parecer favorável emitido pelo órgão ambiental competente, no que diz respeito aos impactos ambientais decorrentes da produção e uso do biocombustível não especificado, é de extrema importância para a obtenção da autorização</w:t>
      </w:r>
      <w:r>
        <w:rPr>
          <w:rStyle w:val="Refdenotaderodap"/>
          <w:rFonts w:ascii="Times New Roman" w:hAnsi="Times New Roman" w:cs="Times New Roman"/>
          <w:sz w:val="24"/>
          <w:szCs w:val="24"/>
          <w:lang w:val="pt-PT"/>
        </w:rPr>
        <w:footnoteReference w:id="54"/>
      </w:r>
      <w:r>
        <w:rPr>
          <w:rFonts w:ascii="Times New Roman" w:hAnsi="Times New Roman" w:cs="Times New Roman"/>
          <w:sz w:val="24"/>
          <w:szCs w:val="24"/>
          <w:lang w:val="pt-PT"/>
        </w:rPr>
        <w:t xml:space="preserve">. </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Por fim, vale ainda notar que a agência já havia regulamentado o uso experimental de misturas de biodiesel em proporções distintas da especificada por lei e mesmo do biodiesel puro (</w:t>
      </w:r>
      <w:r w:rsidRPr="000A75F8">
        <w:rPr>
          <w:rFonts w:ascii="Times New Roman" w:hAnsi="Times New Roman" w:cs="Times New Roman"/>
          <w:sz w:val="24"/>
          <w:szCs w:val="24"/>
          <w:lang w:val="pt-PT"/>
        </w:rPr>
        <w:t>Resolução Nº 18, de 22/06/2007)</w:t>
      </w:r>
      <w:r>
        <w:rPr>
          <w:rFonts w:ascii="Times New Roman" w:hAnsi="Times New Roman" w:cs="Times New Roman"/>
          <w:sz w:val="24"/>
          <w:szCs w:val="24"/>
          <w:lang w:val="pt-PT"/>
        </w:rPr>
        <w:t>. Posteriormente, a</w:t>
      </w:r>
      <w:r w:rsidRPr="000A75F8">
        <w:rPr>
          <w:rFonts w:ascii="Times New Roman" w:hAnsi="Times New Roman" w:cs="Times New Roman"/>
          <w:sz w:val="24"/>
          <w:szCs w:val="24"/>
          <w:lang w:val="pt-PT"/>
        </w:rPr>
        <w:t xml:space="preserve"> Resolução Nº 2, </w:t>
      </w:r>
      <w:r>
        <w:rPr>
          <w:rFonts w:ascii="Times New Roman" w:hAnsi="Times New Roman" w:cs="Times New Roman"/>
          <w:sz w:val="24"/>
          <w:szCs w:val="24"/>
          <w:lang w:val="pt-PT"/>
        </w:rPr>
        <w:t xml:space="preserve">de 29/01/2008 regulamentou o </w:t>
      </w:r>
      <w:r w:rsidRPr="00E84428">
        <w:rPr>
          <w:rFonts w:ascii="Times New Roman" w:hAnsi="Times New Roman" w:cs="Times New Roman"/>
          <w:i/>
          <w:sz w:val="24"/>
          <w:szCs w:val="24"/>
          <w:lang w:val="pt-PT"/>
        </w:rPr>
        <w:t>uso específico</w:t>
      </w:r>
      <w:r>
        <w:rPr>
          <w:rFonts w:ascii="Times New Roman" w:hAnsi="Times New Roman" w:cs="Times New Roman"/>
          <w:sz w:val="24"/>
          <w:szCs w:val="24"/>
          <w:lang w:val="pt-PT"/>
        </w:rPr>
        <w:t xml:space="preserve"> para essas misturas, que pode obter autorização após a conclusão do prazo para uso experimental. Em certos casos, o uso específico de misturas de biodiesel pode ser autorizado sem a necessidade de uso experimental prévio, caso o fabricante do motor apresente garantia do uso. Já a</w:t>
      </w:r>
      <w:r w:rsidRPr="000A75F8">
        <w:rPr>
          <w:rFonts w:ascii="Times New Roman" w:hAnsi="Times New Roman" w:cs="Times New Roman"/>
          <w:sz w:val="24"/>
          <w:szCs w:val="24"/>
          <w:lang w:val="pt-PT"/>
        </w:rPr>
        <w:t xml:space="preserve"> Resolução Nº 2, de</w:t>
      </w:r>
      <w:r>
        <w:rPr>
          <w:rFonts w:ascii="Times New Roman" w:hAnsi="Times New Roman" w:cs="Times New Roman"/>
          <w:sz w:val="24"/>
          <w:szCs w:val="24"/>
          <w:lang w:val="pt-PT"/>
        </w:rPr>
        <w:t xml:space="preserve"> 12/01/2011, retificada em 03/02/2012, especificou as misturas de óleo diesel B-6 a B-20 para uso experimental em frotas cativas ou equipamentos industriais específicos. É importante enfatizar que essas alterações foram respostas à crescente demanda de solicitações de autorização para uso de misturas contendo até 20% de biodiesel, também utilizadas nas frotas de ônibus de algumas capitais brasileiras.</w:t>
      </w:r>
    </w:p>
    <w:p w:rsidR="00715F5B" w:rsidRDefault="00715F5B" w:rsidP="00715F5B">
      <w:pPr>
        <w:spacing w:line="360" w:lineRule="auto"/>
        <w:rPr>
          <w:rFonts w:ascii="Times New Roman" w:hAnsi="Times New Roman" w:cs="Times New Roman"/>
          <w:sz w:val="24"/>
          <w:szCs w:val="24"/>
          <w:lang w:val="pt-PT"/>
        </w:rPr>
      </w:pPr>
    </w:p>
    <w:p w:rsidR="00715F5B" w:rsidRPr="009326AE" w:rsidRDefault="00715F5B" w:rsidP="00EF5A51">
      <w:pPr>
        <w:pStyle w:val="Ttulo3"/>
        <w:rPr>
          <w:lang w:val="pt-PT"/>
        </w:rPr>
      </w:pPr>
      <w:bookmarkStart w:id="132" w:name="_Toc333911377"/>
      <w:r w:rsidRPr="009326AE">
        <w:rPr>
          <w:lang w:val="pt-PT"/>
        </w:rPr>
        <w:t>3.2.7 Considerações sobre o caso brasileiro</w:t>
      </w:r>
      <w:bookmarkEnd w:id="132"/>
    </w:p>
    <w:p w:rsidR="00715F5B" w:rsidRDefault="00715F5B" w:rsidP="00715F5B">
      <w:pPr>
        <w:spacing w:line="360" w:lineRule="auto"/>
        <w:rPr>
          <w:rFonts w:ascii="Times New Roman" w:hAnsi="Times New Roman" w:cs="Times New Roman"/>
          <w:sz w:val="24"/>
          <w:szCs w:val="24"/>
          <w:lang w:val="pt-PT"/>
        </w:rPr>
      </w:pP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Por meio do que foi expos</w:t>
      </w:r>
      <w:r w:rsidR="00EF4A03">
        <w:rPr>
          <w:rFonts w:ascii="Times New Roman" w:hAnsi="Times New Roman" w:cs="Times New Roman"/>
          <w:sz w:val="24"/>
          <w:szCs w:val="24"/>
          <w:lang w:val="pt-PT"/>
        </w:rPr>
        <w:t>to, verifica-se que existe elevado</w:t>
      </w:r>
      <w:r>
        <w:rPr>
          <w:rFonts w:ascii="Times New Roman" w:hAnsi="Times New Roman" w:cs="Times New Roman"/>
          <w:sz w:val="24"/>
          <w:szCs w:val="24"/>
          <w:lang w:val="pt-PT"/>
        </w:rPr>
        <w:t xml:space="preserve"> grau de complexidade quanto à formulação de políticas públicas para o setor energético, e de biocombustíveis mais especificamente. A introdução de novos elementos na agenda de política energética e ambiental fez com que a regulação adaptasse as regras vigentes ao novo contexto. </w:t>
      </w:r>
    </w:p>
    <w:p w:rsidR="00715F5B" w:rsidRDefault="00157EBF"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lastRenderedPageBreak/>
        <w:t>Desse modo, as resoluções p</w:t>
      </w:r>
      <w:r w:rsidR="00715F5B">
        <w:rPr>
          <w:rFonts w:ascii="Times New Roman" w:hAnsi="Times New Roman" w:cs="Times New Roman"/>
          <w:sz w:val="24"/>
          <w:szCs w:val="24"/>
          <w:lang w:val="pt-PT"/>
        </w:rPr>
        <w:t>u</w:t>
      </w:r>
      <w:r>
        <w:rPr>
          <w:rFonts w:ascii="Times New Roman" w:hAnsi="Times New Roman" w:cs="Times New Roman"/>
          <w:sz w:val="24"/>
          <w:szCs w:val="24"/>
          <w:lang w:val="pt-PT"/>
        </w:rPr>
        <w:t>b</w:t>
      </w:r>
      <w:r w:rsidR="00715F5B">
        <w:rPr>
          <w:rFonts w:ascii="Times New Roman" w:hAnsi="Times New Roman" w:cs="Times New Roman"/>
          <w:sz w:val="24"/>
          <w:szCs w:val="24"/>
          <w:lang w:val="pt-PT"/>
        </w:rPr>
        <w:t xml:space="preserve">licadas pela ANP buscam acompanhar movimentos esboçados por produtores e consumidores de biocombustíveis, que demandam novas especificações tanto para quantidades distintas da autorizada, como para produtos ainda não regulamentados. </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No caso analisado, tratou-se de uma demanda política, pois o cumprimento da regulamentação municipal seria dificultado sem a criação de normas para o uso específico de biocombustíveis não especi</w:t>
      </w:r>
      <w:r w:rsidR="00F46DB0">
        <w:rPr>
          <w:rFonts w:ascii="Times New Roman" w:hAnsi="Times New Roman" w:cs="Times New Roman"/>
          <w:sz w:val="24"/>
          <w:szCs w:val="24"/>
          <w:lang w:val="pt-PT"/>
        </w:rPr>
        <w:t>ficados. A mudança na estrutura industrial poderia surgir de forma espontânea, como resultado de novas percepções dos grupos empresariais acerca de oportunidades tecnológicas, ou mesmo de uma política de inovação, como o PAIS</w:t>
      </w:r>
      <w:r w:rsidR="00305F57">
        <w:rPr>
          <w:rFonts w:ascii="Times New Roman" w:hAnsi="Times New Roman" w:cs="Times New Roman"/>
          <w:sz w:val="24"/>
          <w:szCs w:val="24"/>
          <w:lang w:val="pt-PT"/>
        </w:rPr>
        <w:t xml:space="preserve">S. É importante lembrar ainda que </w:t>
      </w:r>
      <w:r w:rsidR="00F46DB0">
        <w:rPr>
          <w:rFonts w:ascii="Times New Roman" w:hAnsi="Times New Roman" w:cs="Times New Roman"/>
          <w:sz w:val="24"/>
          <w:szCs w:val="24"/>
          <w:lang w:val="pt-PT"/>
        </w:rPr>
        <w:t>as próprias po</w:t>
      </w:r>
      <w:r>
        <w:rPr>
          <w:rFonts w:ascii="Times New Roman" w:hAnsi="Times New Roman" w:cs="Times New Roman"/>
          <w:sz w:val="24"/>
          <w:szCs w:val="24"/>
          <w:lang w:val="pt-PT"/>
        </w:rPr>
        <w:t>líticas refletem os costumes e valores que vigoram em uma sociedade. Nesse sentido, o que se esboçou aqui foi apenas um exemplo compatível com a análise dos regimes socio-técnicos proposto por Gee</w:t>
      </w:r>
      <w:r w:rsidR="00305F57">
        <w:rPr>
          <w:rFonts w:ascii="Times New Roman" w:hAnsi="Times New Roman" w:cs="Times New Roman"/>
          <w:sz w:val="24"/>
          <w:szCs w:val="24"/>
          <w:lang w:val="pt-PT"/>
        </w:rPr>
        <w:t xml:space="preserve">ls (2004) e com a ideia de que as tecnologias sociais evoluem junto às tecnologias físicas. </w:t>
      </w:r>
    </w:p>
    <w:p w:rsidR="00EF5A51" w:rsidRDefault="00EF5A51" w:rsidP="00305F57">
      <w:pPr>
        <w:spacing w:line="360" w:lineRule="auto"/>
        <w:rPr>
          <w:rFonts w:ascii="Times New Roman" w:hAnsi="Times New Roman" w:cs="Times New Roman"/>
          <w:b/>
          <w:sz w:val="24"/>
          <w:szCs w:val="24"/>
          <w:lang w:val="pt-PT"/>
        </w:rPr>
      </w:pPr>
    </w:p>
    <w:p w:rsidR="00DE174C" w:rsidRPr="009B669A" w:rsidRDefault="00EF4A03" w:rsidP="00DE174C">
      <w:pPr>
        <w:spacing w:line="360" w:lineRule="auto"/>
        <w:ind w:firstLine="708"/>
        <w:rPr>
          <w:rFonts w:ascii="Times New Roman" w:hAnsi="Times New Roman" w:cs="Times New Roman"/>
          <w:b/>
          <w:sz w:val="24"/>
          <w:szCs w:val="24"/>
          <w:lang w:val="pt-PT"/>
        </w:rPr>
      </w:pPr>
      <w:r>
        <w:rPr>
          <w:rFonts w:ascii="Times New Roman" w:hAnsi="Times New Roman" w:cs="Times New Roman"/>
          <w:b/>
          <w:sz w:val="24"/>
          <w:szCs w:val="24"/>
          <w:lang w:val="pt-PT"/>
        </w:rPr>
        <w:t>Figura 8</w:t>
      </w:r>
      <w:r w:rsidR="00DE174C">
        <w:rPr>
          <w:rFonts w:ascii="Times New Roman" w:hAnsi="Times New Roman" w:cs="Times New Roman"/>
          <w:b/>
          <w:sz w:val="24"/>
          <w:szCs w:val="24"/>
          <w:lang w:val="pt-PT"/>
        </w:rPr>
        <w:t>. C</w:t>
      </w:r>
      <w:r w:rsidR="00DE174C" w:rsidRPr="009B669A">
        <w:rPr>
          <w:rFonts w:ascii="Times New Roman" w:hAnsi="Times New Roman" w:cs="Times New Roman"/>
          <w:b/>
          <w:sz w:val="24"/>
          <w:szCs w:val="24"/>
          <w:lang w:val="pt-PT"/>
        </w:rPr>
        <w:t>oevolução das tecnologias físicas e sociais no caso brasileiro</w:t>
      </w:r>
    </w:p>
    <w:p w:rsidR="00715F5B" w:rsidRDefault="00EE56DA" w:rsidP="00715F5B">
      <w:pPr>
        <w:spacing w:line="360" w:lineRule="auto"/>
        <w:ind w:firstLine="708"/>
        <w:rPr>
          <w:rFonts w:ascii="Times New Roman" w:hAnsi="Times New Roman" w:cs="Times New Roman"/>
          <w:sz w:val="24"/>
          <w:szCs w:val="24"/>
          <w:lang w:val="pt-PT"/>
        </w:rPr>
      </w:pPr>
      <w:r>
        <w:rPr>
          <w:rFonts w:ascii="Times New Roman" w:hAnsi="Times New Roman" w:cs="Times New Roman"/>
          <w:noProof/>
          <w:sz w:val="24"/>
          <w:szCs w:val="24"/>
          <w:lang w:eastAsia="pt-B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2" type="#_x0000_t67" style="position:absolute;left:0;text-align:left;margin-left:240.45pt;margin-top:158.85pt;width:7.15pt;height:14.25pt;z-index:251669504" fillcolor="#1f497d [3215]" strokecolor="#1f497d [3215]" strokeweight="3pt">
            <v:shadow type="perspective" color="#243f60 [1604]" opacity=".5" offset="1pt" offset2="-1pt"/>
            <v:textbox style="layout-flow:vertical-ideographic"/>
          </v:shape>
        </w:pict>
      </w:r>
      <w:r w:rsidR="00715F5B" w:rsidRPr="009B669A">
        <w:rPr>
          <w:rFonts w:ascii="Times New Roman" w:hAnsi="Times New Roman" w:cs="Times New Roman"/>
          <w:noProof/>
          <w:sz w:val="24"/>
          <w:szCs w:val="24"/>
          <w:lang w:eastAsia="pt-BR"/>
        </w:rPr>
        <w:drawing>
          <wp:inline distT="0" distB="0" distL="0" distR="0">
            <wp:extent cx="3990975" cy="2886075"/>
            <wp:effectExtent l="0" t="0" r="0" b="104775"/>
            <wp:docPr id="13" name="Diagra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1269A1" w:rsidRPr="00DE174C" w:rsidRDefault="001269A1" w:rsidP="00715F5B">
      <w:pPr>
        <w:spacing w:line="360" w:lineRule="auto"/>
        <w:ind w:firstLine="708"/>
        <w:rPr>
          <w:rFonts w:ascii="Times New Roman" w:hAnsi="Times New Roman" w:cs="Times New Roman"/>
          <w:sz w:val="24"/>
          <w:szCs w:val="24"/>
          <w:lang w:val="pt-PT"/>
        </w:rPr>
      </w:pPr>
    </w:p>
    <w:p w:rsidR="00715F5B" w:rsidRPr="004C3270" w:rsidRDefault="00715F5B" w:rsidP="00715F5B">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Utilizando </w:t>
      </w:r>
      <w:r w:rsidRPr="004C3270">
        <w:rPr>
          <w:rFonts w:ascii="Times New Roman" w:hAnsi="Times New Roman" w:cs="Times New Roman"/>
          <w:sz w:val="24"/>
          <w:szCs w:val="24"/>
        </w:rPr>
        <w:t>a mesma terminologi</w:t>
      </w:r>
      <w:r>
        <w:rPr>
          <w:rFonts w:ascii="Times New Roman" w:hAnsi="Times New Roman" w:cs="Times New Roman"/>
          <w:sz w:val="24"/>
          <w:szCs w:val="24"/>
        </w:rPr>
        <w:t>a de Nelson (2008), no caso brasileiro</w:t>
      </w:r>
      <w:r w:rsidRPr="004C3270">
        <w:rPr>
          <w:rFonts w:ascii="Times New Roman" w:hAnsi="Times New Roman" w:cs="Times New Roman"/>
          <w:sz w:val="24"/>
          <w:szCs w:val="24"/>
        </w:rPr>
        <w:t>, as tecnologias sociais em questão se referem a programas governamentais, como o PAISS (Plano de Apoio à Inovação Tecnológica Industrial dos Setores Sucroenergético e Sucroquímico), à política energética e de mudanças climáticas e ao marco regulatório, bem como às práticas que prevalecem entre as empresas produtoras e agentes relacionados.</w:t>
      </w:r>
      <w:r>
        <w:rPr>
          <w:rFonts w:ascii="Times New Roman" w:hAnsi="Times New Roman" w:cs="Times New Roman"/>
          <w:sz w:val="24"/>
          <w:szCs w:val="24"/>
        </w:rPr>
        <w:t xml:space="preserve"> </w:t>
      </w:r>
      <w:r w:rsidR="00EF4A03">
        <w:rPr>
          <w:rFonts w:ascii="Times New Roman" w:hAnsi="Times New Roman" w:cs="Times New Roman"/>
          <w:sz w:val="24"/>
          <w:szCs w:val="24"/>
          <w:lang w:val="pt-PT"/>
        </w:rPr>
        <w:t>A figura 8</w:t>
      </w:r>
      <w:r w:rsidR="00305F57">
        <w:rPr>
          <w:rFonts w:ascii="Times New Roman" w:hAnsi="Times New Roman" w:cs="Times New Roman"/>
          <w:sz w:val="24"/>
          <w:szCs w:val="24"/>
          <w:lang w:val="pt-PT"/>
        </w:rPr>
        <w:t xml:space="preserve"> </w:t>
      </w:r>
      <w:r w:rsidR="00EF4A03">
        <w:rPr>
          <w:rFonts w:ascii="Times New Roman" w:hAnsi="Times New Roman" w:cs="Times New Roman"/>
          <w:sz w:val="24"/>
          <w:szCs w:val="24"/>
          <w:lang w:val="pt-PT"/>
        </w:rPr>
        <w:t>ilustra</w:t>
      </w:r>
      <w:r w:rsidR="00305F57">
        <w:rPr>
          <w:rFonts w:ascii="Times New Roman" w:hAnsi="Times New Roman" w:cs="Times New Roman"/>
          <w:sz w:val="24"/>
          <w:szCs w:val="24"/>
          <w:lang w:val="pt-PT"/>
        </w:rPr>
        <w:t xml:space="preserve"> a coevolução dos elementos relevantes para a introdução de um novo biocombustível no Brasil.</w:t>
      </w:r>
    </w:p>
    <w:p w:rsidR="00EF4A03"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lastRenderedPageBreak/>
        <w:t xml:space="preserve">As exigências quanto à documentação dos testes e potenciais impactos dos novos combustíveis visam a assegurar sua qualidade, uma das principais funções da ANP, sendo natural, portanto, que o processo de adaptação seja considerado demorado, complexo, custoso. Como </w:t>
      </w:r>
      <w:r w:rsidR="00BD5178">
        <w:rPr>
          <w:rFonts w:ascii="Times New Roman" w:hAnsi="Times New Roman" w:cs="Times New Roman"/>
          <w:sz w:val="24"/>
          <w:szCs w:val="24"/>
          <w:lang w:val="pt-PT"/>
        </w:rPr>
        <w:t>foi observado</w:t>
      </w:r>
      <w:r>
        <w:rPr>
          <w:rFonts w:ascii="Times New Roman" w:hAnsi="Times New Roman" w:cs="Times New Roman"/>
          <w:sz w:val="24"/>
          <w:szCs w:val="24"/>
          <w:lang w:val="pt-PT"/>
        </w:rPr>
        <w:t xml:space="preserve">, essa característica não é exclusiva da estrutura regulatória brasileira, que possui curto período de experiência, sendo também observada nos processos de regulamentação de novos combustíveis nos Estados Unidos junto ao órgão competente (EPA). </w:t>
      </w:r>
    </w:p>
    <w:p w:rsidR="00715F5B" w:rsidRPr="00987CB0" w:rsidRDefault="00715F5B" w:rsidP="00EF4A03">
      <w:pPr>
        <w:spacing w:line="360" w:lineRule="auto"/>
        <w:ind w:firstLine="708"/>
        <w:rPr>
          <w:rFonts w:ascii="Times New Roman" w:hAnsi="Times New Roman" w:cs="Times New Roman"/>
          <w:sz w:val="24"/>
          <w:szCs w:val="24"/>
        </w:rPr>
      </w:pPr>
      <w:r>
        <w:rPr>
          <w:rFonts w:ascii="Times New Roman" w:hAnsi="Times New Roman" w:cs="Times New Roman"/>
          <w:sz w:val="24"/>
          <w:szCs w:val="24"/>
          <w:lang w:val="pt-PT"/>
        </w:rPr>
        <w:t>As consultas e audiên</w:t>
      </w:r>
      <w:r w:rsidRPr="00987CB0">
        <w:rPr>
          <w:rFonts w:ascii="Times New Roman" w:hAnsi="Times New Roman" w:cs="Times New Roman"/>
          <w:sz w:val="24"/>
          <w:szCs w:val="24"/>
          <w:lang w:val="pt-PT"/>
        </w:rPr>
        <w:t xml:space="preserve">cias públicas estão previstas no Regimento Interno da ANP, publicado na </w:t>
      </w:r>
      <w:r w:rsidRPr="00987CB0">
        <w:rPr>
          <w:rFonts w:ascii="Times New Roman" w:hAnsi="Times New Roman" w:cs="Times New Roman"/>
          <w:sz w:val="24"/>
          <w:szCs w:val="24"/>
        </w:rPr>
        <w:t>Portaria ANP nº 69, de 06/04/2009 (Art. 56). Quaisquer iniciativas que visem à alteração de normas que alteram a alocação de direitos entre os agentes econômicos envolvidos devem ser precedidas de consulta e audiência pública. Os objetivos principais das consultas e audiências públicas são estimular o debate dos aspectos relevantes sobre o assunto em pauta, obter informações e dados que sirvam de subsídio para a decisão final, possibilitar a participação dos agentes econômicos (produtores, usuários e consumidores) com seus comentários e sugestões sobre a matéria em discussão, e dar transparência às ações da ANP.</w:t>
      </w:r>
      <w:r>
        <w:rPr>
          <w:rFonts w:ascii="Times New Roman" w:hAnsi="Times New Roman" w:cs="Times New Roman"/>
          <w:sz w:val="24"/>
          <w:szCs w:val="24"/>
        </w:rPr>
        <w:t xml:space="preserve"> </w:t>
      </w:r>
      <w:r w:rsidRPr="00F01F8C">
        <w:rPr>
          <w:rFonts w:ascii="Times New Roman" w:hAnsi="Times New Roman" w:cs="Times New Roman"/>
          <w:sz w:val="24"/>
          <w:szCs w:val="24"/>
        </w:rPr>
        <w:t xml:space="preserve">As consultas públicas são mecanismos que buscam ampliar o controle social e a prestação de contas das agências reguladoras, sendo requisitos de legalidade e legitimidade das normas expedidas (OLIVEIRA, 2005). </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Outro ponto importante a ser destacado se refere à estrutura de incentivos. Apesar de substituir o óleo diesel com desempenho superior, por não atender à especificação de biodiesel, o diesel de cana não usufrui dos benefícios direcionados ao biodiesel, como previsto no PNPB. Portanto é preciso pensar a questão da adaptação não só na regulação, mas em todo o conjunto de políticas de incentivo.</w:t>
      </w:r>
    </w:p>
    <w:p w:rsidR="00715F5B" w:rsidRPr="00AA1C0A" w:rsidRDefault="00715F5B" w:rsidP="00715F5B">
      <w:pPr>
        <w:spacing w:line="360" w:lineRule="auto"/>
        <w:ind w:firstLine="708"/>
        <w:rPr>
          <w:rFonts w:ascii="Times New Roman" w:hAnsi="Times New Roman" w:cs="Times New Roman"/>
          <w:b/>
          <w:sz w:val="24"/>
          <w:szCs w:val="24"/>
          <w:lang w:val="pt-PT"/>
        </w:rPr>
      </w:pPr>
      <w:r>
        <w:rPr>
          <w:rFonts w:ascii="Times New Roman" w:hAnsi="Times New Roman" w:cs="Times New Roman"/>
          <w:b/>
          <w:sz w:val="24"/>
          <w:szCs w:val="24"/>
          <w:lang w:val="pt-PT"/>
        </w:rPr>
        <w:t xml:space="preserve"> </w:t>
      </w:r>
    </w:p>
    <w:p w:rsidR="00715F5B" w:rsidRPr="00EF5A51" w:rsidRDefault="00715F5B" w:rsidP="00EF5A51">
      <w:pPr>
        <w:pStyle w:val="Ttulo2"/>
      </w:pPr>
      <w:bookmarkStart w:id="133" w:name="_Toc330506382"/>
      <w:bookmarkStart w:id="134" w:name="_Toc333911378"/>
      <w:r w:rsidRPr="00EF5A51">
        <w:t>3.3 Lições dos casos norte-americano</w:t>
      </w:r>
      <w:bookmarkEnd w:id="133"/>
      <w:r w:rsidRPr="00EF5A51">
        <w:t xml:space="preserve"> e brasileiro</w:t>
      </w:r>
      <w:bookmarkEnd w:id="134"/>
    </w:p>
    <w:p w:rsidR="00715F5B" w:rsidRDefault="00715F5B" w:rsidP="00715F5B">
      <w:pPr>
        <w:spacing w:line="360" w:lineRule="auto"/>
        <w:rPr>
          <w:rFonts w:ascii="Times New Roman" w:hAnsi="Times New Roman" w:cs="Times New Roman"/>
          <w:sz w:val="24"/>
          <w:szCs w:val="24"/>
          <w:lang w:val="pt-PT"/>
        </w:rPr>
      </w:pPr>
    </w:p>
    <w:p w:rsidR="00715F5B" w:rsidRDefault="00715F5B" w:rsidP="00715F5B">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ab/>
        <w:t>Apesar de não ser nosso objetivo específico fazer uma comparação aprofundada das estruturas de incentivos presentes na regulação dos mercados de combustíveis líquidos no B</w:t>
      </w:r>
      <w:r w:rsidR="00111D2F">
        <w:rPr>
          <w:rFonts w:ascii="Times New Roman" w:hAnsi="Times New Roman" w:cs="Times New Roman"/>
          <w:sz w:val="24"/>
          <w:szCs w:val="24"/>
          <w:lang w:val="pt-PT"/>
        </w:rPr>
        <w:t>rasil e Estados Unidos, pois é reconhecido</w:t>
      </w:r>
      <w:r>
        <w:rPr>
          <w:rFonts w:ascii="Times New Roman" w:hAnsi="Times New Roman" w:cs="Times New Roman"/>
          <w:sz w:val="24"/>
          <w:szCs w:val="24"/>
          <w:lang w:val="pt-PT"/>
        </w:rPr>
        <w:t xml:space="preserve"> que a natureza das instituições de cada país é extremamente diferente, é possível tecer alguns comentários sobre a experiência recente dos dois países quanto às políticas de incentivo à produção de novos biocombustíveis. </w:t>
      </w:r>
    </w:p>
    <w:p w:rsidR="00D162C4" w:rsidRDefault="00715F5B" w:rsidP="00715F5B">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ab/>
        <w:t xml:space="preserve">O primeiro ponto em comum </w:t>
      </w:r>
      <w:r w:rsidR="0077673B">
        <w:rPr>
          <w:rFonts w:ascii="Times New Roman" w:hAnsi="Times New Roman" w:cs="Times New Roman"/>
          <w:sz w:val="24"/>
          <w:szCs w:val="24"/>
          <w:lang w:val="pt-PT"/>
        </w:rPr>
        <w:t xml:space="preserve">diz respeito aos objetivos dos programas de apoio que visam a aumentar a participação dos biocombustíveis na matriz energética, conferindo maior segurança energética ao país. Em segundo plano, aparecem as preocupações com redução das emissões de GEE, </w:t>
      </w:r>
      <w:r w:rsidR="00D162C4">
        <w:rPr>
          <w:rFonts w:ascii="Times New Roman" w:hAnsi="Times New Roman" w:cs="Times New Roman"/>
          <w:sz w:val="24"/>
          <w:szCs w:val="24"/>
          <w:lang w:val="pt-PT"/>
        </w:rPr>
        <w:t xml:space="preserve">porém </w:t>
      </w:r>
      <w:r w:rsidR="0077673B">
        <w:rPr>
          <w:rFonts w:ascii="Times New Roman" w:hAnsi="Times New Roman" w:cs="Times New Roman"/>
          <w:sz w:val="24"/>
          <w:szCs w:val="24"/>
          <w:lang w:val="pt-PT"/>
        </w:rPr>
        <w:t xml:space="preserve">com maior intensidade no </w:t>
      </w:r>
      <w:r w:rsidR="00D162C4">
        <w:rPr>
          <w:rFonts w:ascii="Times New Roman" w:hAnsi="Times New Roman" w:cs="Times New Roman"/>
          <w:sz w:val="24"/>
          <w:szCs w:val="24"/>
          <w:lang w:val="pt-PT"/>
        </w:rPr>
        <w:t>caso norte-americano. O</w:t>
      </w:r>
      <w:r w:rsidR="0077673B">
        <w:rPr>
          <w:rFonts w:ascii="Times New Roman" w:hAnsi="Times New Roman" w:cs="Times New Roman"/>
          <w:sz w:val="24"/>
          <w:szCs w:val="24"/>
          <w:lang w:val="pt-PT"/>
        </w:rPr>
        <w:t xml:space="preserve"> </w:t>
      </w:r>
      <w:r w:rsidR="0077673B" w:rsidRPr="0077673B">
        <w:rPr>
          <w:rFonts w:ascii="Times New Roman" w:hAnsi="Times New Roman" w:cs="Times New Roman"/>
          <w:i/>
          <w:sz w:val="24"/>
          <w:szCs w:val="24"/>
          <w:lang w:val="pt-PT"/>
        </w:rPr>
        <w:t>tradeoff</w:t>
      </w:r>
      <w:r w:rsidR="0077673B">
        <w:rPr>
          <w:rFonts w:ascii="Times New Roman" w:hAnsi="Times New Roman" w:cs="Times New Roman"/>
          <w:sz w:val="24"/>
          <w:szCs w:val="24"/>
          <w:lang w:val="pt-PT"/>
        </w:rPr>
        <w:t xml:space="preserve"> entre </w:t>
      </w:r>
      <w:r w:rsidR="0077673B">
        <w:rPr>
          <w:rFonts w:ascii="Times New Roman" w:hAnsi="Times New Roman" w:cs="Times New Roman"/>
          <w:sz w:val="24"/>
          <w:szCs w:val="24"/>
          <w:lang w:val="pt-PT"/>
        </w:rPr>
        <w:lastRenderedPageBreak/>
        <w:t>alimentos e energia na área agrícola suscita mais controvérsias no país do hemisfério norte do que no Brasil, que tem implicações sobre os programas de financiamento</w:t>
      </w:r>
      <w:r w:rsidR="00B45297">
        <w:rPr>
          <w:rFonts w:ascii="Times New Roman" w:hAnsi="Times New Roman" w:cs="Times New Roman"/>
          <w:sz w:val="24"/>
          <w:szCs w:val="24"/>
          <w:lang w:val="pt-PT"/>
        </w:rPr>
        <w:t xml:space="preserve"> para desenvolvimento de biocombustíveis avançados. </w:t>
      </w:r>
    </w:p>
    <w:p w:rsidR="00D162C4" w:rsidRPr="007023E5" w:rsidRDefault="007023E5" w:rsidP="00D162C4">
      <w:pPr>
        <w:spacing w:line="360" w:lineRule="auto"/>
        <w:ind w:firstLine="708"/>
        <w:rPr>
          <w:rFonts w:ascii="Times New Roman" w:hAnsi="Times New Roman" w:cs="Times New Roman"/>
          <w:sz w:val="24"/>
          <w:szCs w:val="24"/>
          <w:lang w:val="pt-PT"/>
        </w:rPr>
      </w:pPr>
      <w:r w:rsidRPr="007023E5">
        <w:rPr>
          <w:rFonts w:ascii="Times New Roman" w:hAnsi="Times New Roman" w:cs="Times New Roman"/>
          <w:sz w:val="24"/>
          <w:szCs w:val="24"/>
          <w:lang w:val="pt-PT"/>
        </w:rPr>
        <w:t>O</w:t>
      </w:r>
      <w:r w:rsidRPr="007023E5">
        <w:rPr>
          <w:rFonts w:ascii="Times New Roman" w:hAnsi="Times New Roman" w:cs="Times New Roman"/>
          <w:sz w:val="24"/>
          <w:szCs w:val="24"/>
        </w:rPr>
        <w:t>bserva-se que, c</w:t>
      </w:r>
      <w:r w:rsidR="00D162C4" w:rsidRPr="007023E5">
        <w:rPr>
          <w:rFonts w:ascii="Times New Roman" w:hAnsi="Times New Roman" w:cs="Times New Roman"/>
          <w:sz w:val="24"/>
          <w:szCs w:val="24"/>
        </w:rPr>
        <w:t>om relação aos ince</w:t>
      </w:r>
      <w:r w:rsidRPr="007023E5">
        <w:rPr>
          <w:rFonts w:ascii="Times New Roman" w:hAnsi="Times New Roman" w:cs="Times New Roman"/>
          <w:sz w:val="24"/>
          <w:szCs w:val="24"/>
        </w:rPr>
        <w:t>ntivos à inovação,</w:t>
      </w:r>
      <w:r w:rsidR="00D162C4" w:rsidRPr="007023E5">
        <w:rPr>
          <w:rFonts w:ascii="Times New Roman" w:hAnsi="Times New Roman" w:cs="Times New Roman"/>
          <w:sz w:val="24"/>
          <w:szCs w:val="24"/>
        </w:rPr>
        <w:t xml:space="preserve"> o programa norte-americano, ao estabelecer metas de consumo por categorias, incentiva de forma mais ativa a pesquisa e o desenvolvimento de biocombustíveis avançados. As políticas públicas brasileiras se mostram bem mais tímidas e a regulação segue mudanças na estrutura do setor regulado, decorrentes da própria dinâmica industrial ou induzidas por novas políticas públicas, de forma mais reativa. </w:t>
      </w:r>
    </w:p>
    <w:p w:rsidR="00715F5B" w:rsidRDefault="0077673B" w:rsidP="0077673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A segunda semelhança </w:t>
      </w:r>
      <w:r w:rsidR="00715F5B">
        <w:rPr>
          <w:rFonts w:ascii="Times New Roman" w:hAnsi="Times New Roman" w:cs="Times New Roman"/>
          <w:sz w:val="24"/>
          <w:szCs w:val="24"/>
          <w:lang w:val="pt-PT"/>
        </w:rPr>
        <w:t xml:space="preserve">que se observa é criação de reserva de mercado. Nos Estados Unidos, o tamanho do mercado para combustíveis renováveis é definido por sua capacidade de redução de emissões de GEE. Quanto mais escassa for a oferta de uma determinada categoria de combustíveis, mais valorizado será o RIN a ela associado. Desse modo, incentiva-se a produção dos mesmos por meio da elevação no preço. Conforme a capacidade produtiva for capaz de atender à demanda pelas diferentes categorias de combustíveis renováveis, haverá uma diminuição no preço dos RINs, de modo que, uma vez atingida a meta estabelecida pela EPA, o mercado deixará de pagar o prêmio pelo combustível renovável. </w:t>
      </w:r>
    </w:p>
    <w:p w:rsidR="00715F5B" w:rsidRDefault="00715F5B" w:rsidP="009B6372">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Essa situação é análoga à que ocorre com o biodiesel no Brasil. Quando os produtores atendem a reserva de mercado criada pelo mandato do B5, o preço do biodiesel deixa de receber o “prêmio” e as instalações ficam ociosas. Mas um ponto que chama atenção é maior flexibilidade oferecida pela comercialização de RINs.</w:t>
      </w:r>
      <w:r w:rsidR="009B6372">
        <w:rPr>
          <w:rFonts w:ascii="Times New Roman" w:hAnsi="Times New Roman" w:cs="Times New Roman"/>
          <w:sz w:val="24"/>
          <w:szCs w:val="24"/>
          <w:lang w:val="pt-PT"/>
        </w:rPr>
        <w:t xml:space="preserve"> </w:t>
      </w:r>
      <w:r>
        <w:rPr>
          <w:rFonts w:ascii="Times New Roman" w:hAnsi="Times New Roman" w:cs="Times New Roman"/>
          <w:sz w:val="24"/>
          <w:szCs w:val="24"/>
          <w:lang w:val="pt-PT"/>
        </w:rPr>
        <w:t>Esse tipo de regulação que usa incentivos é considerada custo-eficiente por permitir que os agentes que apresentam menor custo de cumprimento do mandato façam mais do que sua obrigação e sejam remunerados por aqueles que enfrentam custos maiores.</w:t>
      </w:r>
    </w:p>
    <w:p w:rsidR="00715F5B" w:rsidRDefault="00715F5B" w:rsidP="00715F5B">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ab/>
        <w:t>Em um país de grandes dimensões como os EUA e o Brasil, onde a produção de biocombustíveis se encontra concentrada em determinadas regiões, esse mecanismo pode trazer significantes economias com transporte e logística. Dentre os objetivos da política energética brasileira consta “garantir o fornecimento de biocombustíveis em todo o território nacional”</w:t>
      </w:r>
      <w:r>
        <w:rPr>
          <w:rStyle w:val="Refdenotaderodap"/>
          <w:rFonts w:ascii="Times New Roman" w:hAnsi="Times New Roman" w:cs="Times New Roman"/>
          <w:sz w:val="24"/>
          <w:szCs w:val="24"/>
          <w:lang w:val="pt-PT"/>
        </w:rPr>
        <w:footnoteReference w:id="55"/>
      </w:r>
      <w:r>
        <w:rPr>
          <w:rFonts w:ascii="Times New Roman" w:hAnsi="Times New Roman" w:cs="Times New Roman"/>
          <w:sz w:val="24"/>
          <w:szCs w:val="24"/>
          <w:lang w:val="pt-PT"/>
        </w:rPr>
        <w:t xml:space="preserve">. Desse modo, o mandato de mistura obrigatória garante que todo diesel comercializado no Brasil tenha o percentual de biodiesel especificado por lei. Se em vez disso, o planejador estabelecesse que o país como um todo deve atender à meta de consumo do mesmo percentual do mercado (digamos 5%, no caso da vigência do B5), consumidores </w:t>
      </w:r>
      <w:r>
        <w:rPr>
          <w:rFonts w:ascii="Times New Roman" w:hAnsi="Times New Roman" w:cs="Times New Roman"/>
          <w:sz w:val="24"/>
          <w:szCs w:val="24"/>
          <w:lang w:val="pt-PT"/>
        </w:rPr>
        <w:lastRenderedPageBreak/>
        <w:t xml:space="preserve">próximos às unidades produtoras poderiam consumir misturas com percentuais maiores de biodiesel, enquanto os mais distantes poderiam ficar isentos da obrigação. </w:t>
      </w:r>
    </w:p>
    <w:p w:rsidR="00715F5B" w:rsidRDefault="00715F5B" w:rsidP="00715F5B">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ab/>
        <w:t>É evidente que há outros aspectos a serem considerados no caso do biodiesel. Nos grandes centros urbanos, a inclusão do biodiesel na mistura permite a redução das emissões de gases de efeito local. Também é necessário pensar na compatibilidade dos motores com misturas de percentuais mais elevados. Contudo, a comparação é um exercício interessante para avaliarmos formas de tornar a regulação mais eficiente.</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No que concerne o caso norte-americano, a</w:t>
      </w:r>
      <w:r w:rsidRPr="00114514">
        <w:rPr>
          <w:rFonts w:ascii="Times New Roman" w:hAnsi="Times New Roman" w:cs="Times New Roman"/>
          <w:sz w:val="24"/>
          <w:szCs w:val="24"/>
          <w:lang w:val="pt-PT"/>
        </w:rPr>
        <w:t>lguns autores apontam pro</w:t>
      </w:r>
      <w:r>
        <w:rPr>
          <w:rFonts w:ascii="Times New Roman" w:hAnsi="Times New Roman" w:cs="Times New Roman"/>
          <w:sz w:val="24"/>
          <w:szCs w:val="24"/>
          <w:lang w:val="pt-PT"/>
        </w:rPr>
        <w:t xml:space="preserve">blemas de coordenação entre as políticas públicas </w:t>
      </w:r>
      <w:r w:rsidR="00316C72">
        <w:rPr>
          <w:rFonts w:ascii="Times New Roman" w:hAnsi="Times New Roman" w:cs="Times New Roman"/>
          <w:sz w:val="24"/>
          <w:szCs w:val="24"/>
          <w:lang w:val="pt-PT"/>
        </w:rPr>
        <w:t xml:space="preserve">e </w:t>
      </w:r>
      <w:r>
        <w:rPr>
          <w:rFonts w:ascii="Times New Roman" w:hAnsi="Times New Roman" w:cs="Times New Roman"/>
          <w:sz w:val="24"/>
          <w:szCs w:val="24"/>
          <w:lang w:val="pt-PT"/>
        </w:rPr>
        <w:t xml:space="preserve">a </w:t>
      </w:r>
      <w:r w:rsidRPr="00114514">
        <w:rPr>
          <w:rFonts w:ascii="Times New Roman" w:hAnsi="Times New Roman" w:cs="Times New Roman"/>
          <w:sz w:val="24"/>
          <w:szCs w:val="24"/>
          <w:lang w:val="pt-PT"/>
        </w:rPr>
        <w:t>regu</w:t>
      </w:r>
      <w:r>
        <w:rPr>
          <w:rFonts w:ascii="Times New Roman" w:hAnsi="Times New Roman" w:cs="Times New Roman"/>
          <w:sz w:val="24"/>
          <w:szCs w:val="24"/>
          <w:lang w:val="pt-PT"/>
        </w:rPr>
        <w:t>lação de biocombustíveis no país</w:t>
      </w:r>
      <w:r w:rsidRPr="00114514">
        <w:rPr>
          <w:rFonts w:ascii="Times New Roman" w:hAnsi="Times New Roman" w:cs="Times New Roman"/>
          <w:sz w:val="24"/>
          <w:szCs w:val="24"/>
          <w:lang w:val="pt-PT"/>
        </w:rPr>
        <w:t xml:space="preserve">, argumentando que as políticas nesse setor foram implementadas de forma fragmentada, com diferentes objetivos. Enquanto o EISA promove a produção dos biocombustíveis com ênfase na segurança energética, por exemplo, o RFS2 </w:t>
      </w:r>
      <w:r>
        <w:rPr>
          <w:rFonts w:ascii="Times New Roman" w:hAnsi="Times New Roman" w:cs="Times New Roman"/>
          <w:sz w:val="24"/>
          <w:szCs w:val="24"/>
          <w:lang w:val="pt-PT"/>
        </w:rPr>
        <w:t>teria priorizado</w:t>
      </w:r>
      <w:r w:rsidRPr="00114514">
        <w:rPr>
          <w:rFonts w:ascii="Times New Roman" w:hAnsi="Times New Roman" w:cs="Times New Roman"/>
          <w:sz w:val="24"/>
          <w:szCs w:val="24"/>
          <w:lang w:val="pt-PT"/>
        </w:rPr>
        <w:t xml:space="preserve"> questões ambientais (RAJAGOPAL et al.,</w:t>
      </w:r>
      <w:r>
        <w:rPr>
          <w:rFonts w:ascii="Times New Roman" w:hAnsi="Times New Roman" w:cs="Times New Roman"/>
          <w:sz w:val="24"/>
          <w:szCs w:val="24"/>
          <w:lang w:val="pt-PT"/>
        </w:rPr>
        <w:t xml:space="preserve"> </w:t>
      </w:r>
      <w:r w:rsidRPr="00114514">
        <w:rPr>
          <w:rFonts w:ascii="Times New Roman" w:hAnsi="Times New Roman" w:cs="Times New Roman"/>
          <w:sz w:val="24"/>
          <w:szCs w:val="24"/>
          <w:lang w:val="pt-PT"/>
        </w:rPr>
        <w:t>2010).</w:t>
      </w:r>
      <w:r>
        <w:rPr>
          <w:rFonts w:ascii="Times New Roman" w:hAnsi="Times New Roman" w:cs="Times New Roman"/>
          <w:sz w:val="24"/>
          <w:szCs w:val="24"/>
          <w:lang w:val="pt-PT"/>
        </w:rPr>
        <w:t xml:space="preserve"> Com efeito, verifica-se tal situação em diversos países. </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No Brasil, eventos recentes referentes à tributação da gasolina mostram que o governo se depara constantemente com problemas de naturezas diversas e adota medidas de acordo com sua prioridade. Alguns especialistas, por exemplo, consideram incoerente isentar de tributação um combustível fóssil para controle de inflação, enquanto se observa redução dos investimentos na produção de biocombustíveis.</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A Mensagem Nº 1.123, de 29/12/2009, da Casa Civil, que veta parcialmente o projeto de lei que institui</w:t>
      </w:r>
      <w:r w:rsidR="009B6372">
        <w:rPr>
          <w:rFonts w:ascii="Times New Roman" w:hAnsi="Times New Roman" w:cs="Times New Roman"/>
          <w:sz w:val="24"/>
          <w:szCs w:val="24"/>
          <w:lang w:val="pt-PT"/>
        </w:rPr>
        <w:t>u</w:t>
      </w:r>
      <w:r>
        <w:rPr>
          <w:rFonts w:ascii="Times New Roman" w:hAnsi="Times New Roman" w:cs="Times New Roman"/>
          <w:sz w:val="24"/>
          <w:szCs w:val="24"/>
          <w:lang w:val="pt-PT"/>
        </w:rPr>
        <w:t xml:space="preserve"> a Política Nacion</w:t>
      </w:r>
      <w:r w:rsidR="001269A1">
        <w:rPr>
          <w:rFonts w:ascii="Times New Roman" w:hAnsi="Times New Roman" w:cs="Times New Roman"/>
          <w:sz w:val="24"/>
          <w:szCs w:val="24"/>
          <w:lang w:val="pt-PT"/>
        </w:rPr>
        <w:t>al sobre Mudança do Clima (PNMC)</w:t>
      </w:r>
      <w:r>
        <w:rPr>
          <w:rFonts w:ascii="Times New Roman" w:hAnsi="Times New Roman" w:cs="Times New Roman"/>
          <w:sz w:val="24"/>
          <w:szCs w:val="24"/>
          <w:lang w:val="pt-PT"/>
        </w:rPr>
        <w:t>, é uma clara demonstração de que as medidas de redução de emissões de GEE devem levar em consideração restrições impostas por outras políticas, por exemplo, o cumprimento das leis de diretrizes orçamentárias. Essa foi a justificativa para vetar o dispositivo que considera que “o dispêndio público com as ações de enfrentamento das alterações climáticas não sofrerá contingenciamento de nenhuma espécie durante a execução orçamentária”</w:t>
      </w:r>
      <w:r>
        <w:rPr>
          <w:rStyle w:val="Refdenotaderodap"/>
          <w:rFonts w:ascii="Times New Roman" w:hAnsi="Times New Roman" w:cs="Times New Roman"/>
          <w:sz w:val="24"/>
          <w:szCs w:val="24"/>
          <w:lang w:val="pt-PT"/>
        </w:rPr>
        <w:footnoteReference w:id="56"/>
      </w:r>
      <w:r>
        <w:rPr>
          <w:rFonts w:ascii="Times New Roman" w:hAnsi="Times New Roman" w:cs="Times New Roman"/>
          <w:sz w:val="24"/>
          <w:szCs w:val="24"/>
          <w:lang w:val="pt-PT"/>
        </w:rPr>
        <w:t xml:space="preserve">. </w:t>
      </w:r>
    </w:p>
    <w:p w:rsidR="00715F5B" w:rsidRDefault="00715F5B"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 xml:space="preserve">Foi também vetado um dos objetivos da PNMC, qual seja o de estimular o desenvolvimento e uso de tecnologias limpas e “paulatino abandono do uso de fontes energéticas que utilizem combustíveis fósseis”. O veto foi justificado pelo fato de que a política energética do País já prioriza a utilização de fontes renováveis de energia e que uma de suas balizas é o aproveitamento racional dos recursos energéticos disponíveis, sendo inadequado adotar uma diretriz que prevê o abandono dos combustíveis fósseis. Como é </w:t>
      </w:r>
      <w:r>
        <w:rPr>
          <w:rFonts w:ascii="Times New Roman" w:hAnsi="Times New Roman" w:cs="Times New Roman"/>
          <w:sz w:val="24"/>
          <w:szCs w:val="24"/>
          <w:lang w:val="pt-PT"/>
        </w:rPr>
        <w:lastRenderedPageBreak/>
        <w:t>possível observar, tanto nos Estados Unidos, como no Brasil, a conjugação da proteção ao meio ambiente com segurança energética não é uma tarefa simples.</w:t>
      </w:r>
    </w:p>
    <w:p w:rsidR="00715F5B" w:rsidRDefault="00715F5B" w:rsidP="00715F5B">
      <w:pPr>
        <w:spacing w:line="360" w:lineRule="auto"/>
        <w:ind w:firstLine="708"/>
        <w:rPr>
          <w:rFonts w:ascii="Times New Roman" w:hAnsi="Times New Roman" w:cs="Times New Roman"/>
          <w:sz w:val="24"/>
          <w:szCs w:val="24"/>
          <w:lang w:val="pt-PT"/>
        </w:rPr>
      </w:pPr>
    </w:p>
    <w:p w:rsidR="00715F5B" w:rsidRPr="00D5116E" w:rsidRDefault="00D162C4" w:rsidP="00D162C4">
      <w:pPr>
        <w:spacing w:line="360" w:lineRule="auto"/>
        <w:ind w:firstLine="708"/>
        <w:rPr>
          <w:rFonts w:ascii="Times New Roman" w:hAnsi="Times New Roman" w:cs="Times New Roman"/>
          <w:b/>
          <w:sz w:val="24"/>
          <w:szCs w:val="24"/>
          <w:lang w:val="pt-PT"/>
        </w:rPr>
      </w:pPr>
      <w:r>
        <w:rPr>
          <w:rFonts w:ascii="Times New Roman" w:hAnsi="Times New Roman" w:cs="Times New Roman"/>
          <w:b/>
          <w:sz w:val="24"/>
          <w:szCs w:val="24"/>
          <w:lang w:val="pt-PT"/>
        </w:rPr>
        <w:t xml:space="preserve">          </w:t>
      </w:r>
      <w:r w:rsidR="009359E3">
        <w:rPr>
          <w:rFonts w:ascii="Times New Roman" w:hAnsi="Times New Roman" w:cs="Times New Roman"/>
          <w:b/>
          <w:sz w:val="24"/>
          <w:szCs w:val="24"/>
          <w:lang w:val="pt-PT"/>
        </w:rPr>
        <w:t xml:space="preserve">                       </w:t>
      </w:r>
      <w:r w:rsidR="001269A1">
        <w:rPr>
          <w:rFonts w:ascii="Times New Roman" w:hAnsi="Times New Roman" w:cs="Times New Roman"/>
          <w:b/>
          <w:sz w:val="24"/>
          <w:szCs w:val="24"/>
          <w:lang w:val="pt-PT"/>
        </w:rPr>
        <w:t>Tabela 3</w:t>
      </w:r>
      <w:r w:rsidR="00715F5B" w:rsidRPr="00D5116E">
        <w:rPr>
          <w:rFonts w:ascii="Times New Roman" w:hAnsi="Times New Roman" w:cs="Times New Roman"/>
          <w:b/>
          <w:sz w:val="24"/>
          <w:szCs w:val="24"/>
          <w:lang w:val="pt-PT"/>
        </w:rPr>
        <w:t>. Quadro</w:t>
      </w:r>
      <w:r w:rsidR="00715F5B">
        <w:rPr>
          <w:rFonts w:ascii="Times New Roman" w:hAnsi="Times New Roman" w:cs="Times New Roman"/>
          <w:b/>
          <w:sz w:val="24"/>
          <w:szCs w:val="24"/>
          <w:lang w:val="pt-PT"/>
        </w:rPr>
        <w:t xml:space="preserve"> comparativo dos</w:t>
      </w:r>
      <w:r w:rsidR="00715F5B" w:rsidRPr="00D5116E">
        <w:rPr>
          <w:rFonts w:ascii="Times New Roman" w:hAnsi="Times New Roman" w:cs="Times New Roman"/>
          <w:b/>
          <w:sz w:val="24"/>
          <w:szCs w:val="24"/>
          <w:lang w:val="pt-PT"/>
        </w:rPr>
        <w:t xml:space="preserve"> casos</w:t>
      </w:r>
    </w:p>
    <w:p w:rsidR="00715F5B" w:rsidRPr="00D331BF" w:rsidRDefault="00060D9F" w:rsidP="00DF6598">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5381587" cy="3581658"/>
            <wp:effectExtent l="1905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srcRect/>
                    <a:stretch>
                      <a:fillRect/>
                    </a:stretch>
                  </pic:blipFill>
                  <pic:spPr bwMode="auto">
                    <a:xfrm>
                      <a:off x="0" y="0"/>
                      <a:ext cx="5390806" cy="3587793"/>
                    </a:xfrm>
                    <a:prstGeom prst="rect">
                      <a:avLst/>
                    </a:prstGeom>
                    <a:noFill/>
                  </pic:spPr>
                </pic:pic>
              </a:graphicData>
            </a:graphic>
          </wp:inline>
        </w:drawing>
      </w:r>
    </w:p>
    <w:p w:rsidR="00715F5B" w:rsidRDefault="00715F5B" w:rsidP="00715F5B">
      <w:pPr>
        <w:spacing w:line="360" w:lineRule="auto"/>
        <w:rPr>
          <w:rFonts w:ascii="Times New Roman" w:hAnsi="Times New Roman" w:cs="Times New Roman"/>
          <w:color w:val="943634" w:themeColor="accent2" w:themeShade="BF"/>
          <w:sz w:val="24"/>
          <w:szCs w:val="24"/>
        </w:rPr>
      </w:pPr>
      <w:r>
        <w:rPr>
          <w:rFonts w:ascii="Times New Roman" w:hAnsi="Times New Roman" w:cs="Times New Roman"/>
          <w:color w:val="943634" w:themeColor="accent2" w:themeShade="BF"/>
          <w:sz w:val="24"/>
          <w:szCs w:val="24"/>
        </w:rPr>
        <w:tab/>
      </w:r>
    </w:p>
    <w:p w:rsidR="00715F5B" w:rsidRPr="00AF770F" w:rsidRDefault="00715F5B" w:rsidP="008756E7">
      <w:pPr>
        <w:spacing w:line="360" w:lineRule="auto"/>
        <w:ind w:firstLine="708"/>
        <w:rPr>
          <w:rFonts w:ascii="Times New Roman" w:hAnsi="Times New Roman" w:cs="Times New Roman"/>
          <w:sz w:val="24"/>
          <w:szCs w:val="24"/>
        </w:rPr>
      </w:pPr>
      <w:r w:rsidRPr="00AF770F">
        <w:rPr>
          <w:rFonts w:ascii="Times New Roman" w:hAnsi="Times New Roman" w:cs="Times New Roman"/>
          <w:sz w:val="24"/>
          <w:szCs w:val="24"/>
        </w:rPr>
        <w:t>No que diz respeito ao desenho institucional, observa</w:t>
      </w:r>
      <w:r w:rsidR="00060D9F">
        <w:rPr>
          <w:rFonts w:ascii="Times New Roman" w:hAnsi="Times New Roman" w:cs="Times New Roman"/>
          <w:sz w:val="24"/>
          <w:szCs w:val="24"/>
        </w:rPr>
        <w:t>m</w:t>
      </w:r>
      <w:r w:rsidRPr="00AF770F">
        <w:rPr>
          <w:rFonts w:ascii="Times New Roman" w:hAnsi="Times New Roman" w:cs="Times New Roman"/>
          <w:sz w:val="24"/>
          <w:szCs w:val="24"/>
        </w:rPr>
        <w:t xml:space="preserve">-se elementos </w:t>
      </w:r>
      <w:r w:rsidR="00397B04">
        <w:rPr>
          <w:rFonts w:ascii="Times New Roman" w:hAnsi="Times New Roman" w:cs="Times New Roman"/>
          <w:sz w:val="24"/>
          <w:szCs w:val="24"/>
        </w:rPr>
        <w:t>distintos</w:t>
      </w:r>
      <w:r w:rsidRPr="00AF770F">
        <w:rPr>
          <w:rFonts w:ascii="Times New Roman" w:hAnsi="Times New Roman" w:cs="Times New Roman"/>
          <w:sz w:val="24"/>
          <w:szCs w:val="24"/>
        </w:rPr>
        <w:t xml:space="preserve"> entre os dois países. Enquanto a EPA possui um papel central na definição de regras e na execução da política energética direcionada aos combustíveis renováveis (além de regular os mais diversos setores da economia norte-americana), no Brasil, essa competência se encontra mais dispersa entre diferentes órgãos governamentais, ligados a diferentes ministérios. Apesar de suas competências se estenderem para mais de uma indústria energética, a ANP é um órgão</w:t>
      </w:r>
      <w:r>
        <w:rPr>
          <w:rFonts w:ascii="Times New Roman" w:hAnsi="Times New Roman" w:cs="Times New Roman"/>
          <w:sz w:val="24"/>
          <w:szCs w:val="24"/>
        </w:rPr>
        <w:t xml:space="preserve"> regulador setoria</w:t>
      </w:r>
      <w:r w:rsidR="00434AB6">
        <w:rPr>
          <w:rFonts w:ascii="Times New Roman" w:hAnsi="Times New Roman" w:cs="Times New Roman"/>
          <w:sz w:val="24"/>
          <w:szCs w:val="24"/>
        </w:rPr>
        <w:t>l de energia, porém,</w:t>
      </w:r>
      <w:r>
        <w:rPr>
          <w:rFonts w:ascii="Times New Roman" w:hAnsi="Times New Roman" w:cs="Times New Roman"/>
          <w:sz w:val="24"/>
          <w:szCs w:val="24"/>
        </w:rPr>
        <w:t xml:space="preserve"> </w:t>
      </w:r>
      <w:r w:rsidRPr="00AF770F">
        <w:rPr>
          <w:rFonts w:ascii="Times New Roman" w:hAnsi="Times New Roman" w:cs="Times New Roman"/>
          <w:sz w:val="24"/>
          <w:szCs w:val="24"/>
        </w:rPr>
        <w:t xml:space="preserve">suas atividades estão sujeitas a </w:t>
      </w:r>
      <w:r>
        <w:rPr>
          <w:rFonts w:ascii="Times New Roman" w:hAnsi="Times New Roman" w:cs="Times New Roman"/>
          <w:sz w:val="24"/>
          <w:szCs w:val="24"/>
        </w:rPr>
        <w:t>políticas de outras áreas de interesse público</w:t>
      </w:r>
      <w:r w:rsidRPr="00AF770F">
        <w:rPr>
          <w:rFonts w:ascii="Times New Roman" w:hAnsi="Times New Roman" w:cs="Times New Roman"/>
          <w:sz w:val="24"/>
          <w:szCs w:val="24"/>
        </w:rPr>
        <w:t xml:space="preserve">. </w:t>
      </w:r>
      <w:r>
        <w:rPr>
          <w:rFonts w:ascii="Times New Roman" w:hAnsi="Times New Roman" w:cs="Times New Roman"/>
          <w:sz w:val="24"/>
          <w:szCs w:val="24"/>
        </w:rPr>
        <w:t xml:space="preserve">Isso </w:t>
      </w:r>
      <w:r w:rsidRPr="00AF770F">
        <w:rPr>
          <w:rFonts w:ascii="Times New Roman" w:hAnsi="Times New Roman" w:cs="Times New Roman"/>
          <w:sz w:val="24"/>
          <w:szCs w:val="24"/>
        </w:rPr>
        <w:t>torna</w:t>
      </w:r>
      <w:r>
        <w:rPr>
          <w:rFonts w:ascii="Times New Roman" w:hAnsi="Times New Roman" w:cs="Times New Roman"/>
          <w:sz w:val="24"/>
          <w:szCs w:val="24"/>
        </w:rPr>
        <w:t xml:space="preserve"> muito mais complexa a atividade de regulação e dificulta a coordenação das ações governamentais.</w:t>
      </w:r>
    </w:p>
    <w:p w:rsidR="00715F5B" w:rsidRDefault="00715F5B" w:rsidP="00715F5B">
      <w:pPr>
        <w:spacing w:line="360" w:lineRule="auto"/>
        <w:ind w:firstLine="708"/>
        <w:rPr>
          <w:rFonts w:ascii="Times New Roman" w:hAnsi="Times New Roman" w:cs="Times New Roman"/>
          <w:sz w:val="24"/>
          <w:szCs w:val="24"/>
        </w:rPr>
      </w:pPr>
      <w:r>
        <w:rPr>
          <w:rFonts w:ascii="Times New Roman" w:hAnsi="Times New Roman" w:cs="Times New Roman"/>
          <w:sz w:val="24"/>
          <w:szCs w:val="24"/>
        </w:rPr>
        <w:t>Um bom exemplo de coordenação nos Estados Unidos pode ser observado nas práticas administrativas do</w:t>
      </w:r>
      <w:r w:rsidR="00DF6598">
        <w:rPr>
          <w:rFonts w:ascii="Times New Roman" w:hAnsi="Times New Roman" w:cs="Times New Roman"/>
          <w:sz w:val="24"/>
          <w:szCs w:val="24"/>
        </w:rPr>
        <w:t xml:space="preserve"> programa</w:t>
      </w:r>
      <w:r>
        <w:rPr>
          <w:rFonts w:ascii="Times New Roman" w:hAnsi="Times New Roman" w:cs="Times New Roman"/>
          <w:sz w:val="24"/>
          <w:szCs w:val="24"/>
        </w:rPr>
        <w:t xml:space="preserve"> </w:t>
      </w:r>
      <w:r w:rsidRPr="0059537A">
        <w:rPr>
          <w:rFonts w:ascii="Times New Roman" w:hAnsi="Times New Roman" w:cs="Times New Roman"/>
          <w:i/>
          <w:sz w:val="24"/>
          <w:szCs w:val="24"/>
        </w:rPr>
        <w:t>Low Carbon Fuel Standard</w:t>
      </w:r>
      <w:r>
        <w:rPr>
          <w:rFonts w:ascii="Times New Roman" w:hAnsi="Times New Roman" w:cs="Times New Roman"/>
          <w:sz w:val="24"/>
          <w:szCs w:val="24"/>
        </w:rPr>
        <w:t xml:space="preserve">, colocado em vigor no estado da California em abril de 2010. Trata-se de um esquema regulatório complementar ao RFS2, pois prevê que todos os combustíveis utilizados pelo setor de transportes na Califórnia reduzam as emissões de GEE em 10% até 2020. </w:t>
      </w:r>
    </w:p>
    <w:p w:rsidR="00715F5B" w:rsidRDefault="00715F5B" w:rsidP="00715F5B">
      <w:pPr>
        <w:spacing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O regulamento do programa exige que o diretor executivo realize revisões do programa por meio de um processo público, a primeira no início de 2012 e a segunda no início de 2015. As revisões devem abordar uma ampla diversidade de temas relacionados à implantação do programa, podendo incluir recomendações de alterações ao mesmo. Para isso, o diretor executivo é obrigado a convocar um painel consultivo. O regulamento especifica ainda que o painel deve contar com representantes da </w:t>
      </w:r>
      <w:r w:rsidRPr="00F34053">
        <w:rPr>
          <w:rFonts w:ascii="Times New Roman" w:hAnsi="Times New Roman" w:cs="Times New Roman"/>
          <w:i/>
          <w:sz w:val="24"/>
          <w:szCs w:val="24"/>
        </w:rPr>
        <w:t>California Energy Commission</w:t>
      </w:r>
      <w:r>
        <w:rPr>
          <w:rFonts w:ascii="Times New Roman" w:hAnsi="Times New Roman" w:cs="Times New Roman"/>
          <w:sz w:val="24"/>
          <w:szCs w:val="24"/>
        </w:rPr>
        <w:t xml:space="preserve">, da </w:t>
      </w:r>
      <w:r w:rsidRPr="00F34053">
        <w:rPr>
          <w:rFonts w:ascii="Times New Roman" w:hAnsi="Times New Roman" w:cs="Times New Roman"/>
          <w:i/>
          <w:sz w:val="24"/>
          <w:szCs w:val="24"/>
        </w:rPr>
        <w:t>California Public Utilities Commission</w:t>
      </w:r>
      <w:r>
        <w:rPr>
          <w:rFonts w:ascii="Times New Roman" w:hAnsi="Times New Roman" w:cs="Times New Roman"/>
          <w:sz w:val="24"/>
          <w:szCs w:val="24"/>
        </w:rPr>
        <w:t xml:space="preserve"> e de outras agências governamentais, fornecedores de combustíveis, proprietários da infraestrutura de distribuição e armazenamento de combustíveis, fabricantes de motores e veículos, grupos ambientais, representantes do setor acadêmico e outras partes interessadas, conforme o diretor julgar necessário. As apresentações dos representantes são disponibilizadas ao grande público, por meio da internet, e podem receber comentários durantes três semanas (ARB, 2011).  </w:t>
      </w:r>
    </w:p>
    <w:p w:rsidR="00100699" w:rsidRPr="00D162C4" w:rsidRDefault="00715F5B" w:rsidP="00D162C4">
      <w:pPr>
        <w:spacing w:line="360" w:lineRule="auto"/>
        <w:ind w:firstLine="708"/>
        <w:rPr>
          <w:rFonts w:ascii="Times New Roman" w:hAnsi="Times New Roman" w:cs="Times New Roman"/>
          <w:sz w:val="24"/>
          <w:szCs w:val="24"/>
        </w:rPr>
      </w:pPr>
      <w:r>
        <w:rPr>
          <w:rFonts w:ascii="Times New Roman" w:hAnsi="Times New Roman" w:cs="Times New Roman"/>
          <w:sz w:val="24"/>
          <w:szCs w:val="24"/>
        </w:rPr>
        <w:t>Esse tipo de mecanismo pode ser importante para evitar a sobreposição de competências entre os órgãos governamentais, a duplicação de trabalho ou mesmo o conflito de objetivos, especialmente quando existem indefinições acerca da estrutura hierárquica e/ou do escopo de atuação dos órgãos governamentais, além de contribuir para dar mais transparência ao processo de revisão do regulamento proposto.</w:t>
      </w:r>
      <w:r w:rsidR="00577018" w:rsidRPr="00577018">
        <w:rPr>
          <w:rFonts w:ascii="Times New Roman" w:hAnsi="Times New Roman" w:cs="Times New Roman"/>
          <w:color w:val="FF0000"/>
          <w:sz w:val="24"/>
          <w:szCs w:val="24"/>
        </w:rPr>
        <w:t xml:space="preserve"> </w:t>
      </w:r>
    </w:p>
    <w:p w:rsidR="00715F5B" w:rsidRDefault="00715F5B" w:rsidP="00715F5B">
      <w:pPr>
        <w:spacing w:line="360" w:lineRule="auto"/>
        <w:rPr>
          <w:rFonts w:ascii="Times New Roman" w:hAnsi="Times New Roman" w:cs="Times New Roman"/>
          <w:color w:val="943634" w:themeColor="accent2" w:themeShade="BF"/>
          <w:sz w:val="24"/>
          <w:szCs w:val="24"/>
        </w:rPr>
      </w:pPr>
    </w:p>
    <w:p w:rsidR="00715F5B" w:rsidRPr="00EF5A51" w:rsidRDefault="005C7FC7" w:rsidP="00EF5A51">
      <w:pPr>
        <w:pStyle w:val="Ttulo2"/>
      </w:pPr>
      <w:bookmarkStart w:id="135" w:name="_Toc330506383"/>
      <w:bookmarkStart w:id="136" w:name="_Toc333911379"/>
      <w:r>
        <w:t>3.4</w:t>
      </w:r>
      <w:r w:rsidR="00715F5B" w:rsidRPr="00EF5A51">
        <w:t xml:space="preserve"> C</w:t>
      </w:r>
      <w:bookmarkEnd w:id="135"/>
      <w:r w:rsidR="00715F5B" w:rsidRPr="00EF5A51">
        <w:t>onclusões</w:t>
      </w:r>
      <w:bookmarkEnd w:id="136"/>
    </w:p>
    <w:p w:rsidR="00715F5B" w:rsidRDefault="00715F5B" w:rsidP="00715F5B">
      <w:pPr>
        <w:spacing w:line="360" w:lineRule="auto"/>
        <w:rPr>
          <w:rFonts w:ascii="Times New Roman" w:hAnsi="Times New Roman" w:cs="Times New Roman"/>
          <w:color w:val="943634" w:themeColor="accent2" w:themeShade="BF"/>
          <w:sz w:val="24"/>
          <w:szCs w:val="24"/>
        </w:rPr>
      </w:pPr>
    </w:p>
    <w:p w:rsidR="00715F5B" w:rsidRDefault="008756E7" w:rsidP="00715F5B">
      <w:pPr>
        <w:spacing w:line="360" w:lineRule="auto"/>
        <w:ind w:firstLine="708"/>
        <w:rPr>
          <w:rFonts w:ascii="Times New Roman" w:hAnsi="Times New Roman" w:cs="Times New Roman"/>
          <w:sz w:val="24"/>
          <w:szCs w:val="24"/>
        </w:rPr>
      </w:pPr>
      <w:r>
        <w:rPr>
          <w:rFonts w:ascii="Times New Roman" w:hAnsi="Times New Roman" w:cs="Times New Roman"/>
          <w:sz w:val="24"/>
          <w:szCs w:val="24"/>
        </w:rPr>
        <w:t>Este capítulo analisou</w:t>
      </w:r>
      <w:r w:rsidR="00715F5B" w:rsidRPr="00B15D09">
        <w:rPr>
          <w:rFonts w:ascii="Times New Roman" w:hAnsi="Times New Roman" w:cs="Times New Roman"/>
          <w:sz w:val="24"/>
          <w:szCs w:val="24"/>
        </w:rPr>
        <w:t xml:space="preserve"> de que forma a regulação de biocombustíveis tem acompanhado as inovações tecnológicas, bem como mudanças nas políticas governamentais que refletem uma maior preocupação social com as questões ambientais. Para tanto, serviram como referencial teórico o tr</w:t>
      </w:r>
      <w:r w:rsidR="006A0EAD">
        <w:rPr>
          <w:rFonts w:ascii="Times New Roman" w:hAnsi="Times New Roman" w:cs="Times New Roman"/>
          <w:sz w:val="24"/>
          <w:szCs w:val="24"/>
        </w:rPr>
        <w:t>abalho de Nelson (2008), que explorou</w:t>
      </w:r>
      <w:r w:rsidR="00715F5B" w:rsidRPr="00B15D09">
        <w:rPr>
          <w:rFonts w:ascii="Times New Roman" w:hAnsi="Times New Roman" w:cs="Times New Roman"/>
          <w:sz w:val="24"/>
          <w:szCs w:val="24"/>
        </w:rPr>
        <w:t xml:space="preserve"> a coevolução das “tecnologias sociais” com as tecnologias físicas</w:t>
      </w:r>
      <w:r w:rsidR="00715F5B">
        <w:rPr>
          <w:rFonts w:ascii="Times New Roman" w:hAnsi="Times New Roman" w:cs="Times New Roman"/>
          <w:sz w:val="24"/>
          <w:szCs w:val="24"/>
        </w:rPr>
        <w:t>,</w:t>
      </w:r>
      <w:r w:rsidR="00715F5B" w:rsidRPr="00B15D09">
        <w:rPr>
          <w:rFonts w:ascii="Times New Roman" w:hAnsi="Times New Roman" w:cs="Times New Roman"/>
          <w:sz w:val="24"/>
          <w:szCs w:val="24"/>
        </w:rPr>
        <w:t xml:space="preserve"> além da análise proposta por Geels (2010), que dá maior destaque aos papéis desempenhados pelas forças sociopolíticas em transições de regimes sócio-técnicos.</w:t>
      </w:r>
    </w:p>
    <w:p w:rsidR="00715F5B" w:rsidRPr="00B15D09" w:rsidRDefault="00715F5B" w:rsidP="00715F5B">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Foram apresentados dois casos, um no Brasil e outro nos Estados Unidos, sobre a introdução de novos biocombustíveis na matriz energética. Em ambos os casos, verifica-se a existência de mecanismos que buscam garantir a qualidade dos combustíveis, bem como conferir maior transparência na elaboração de novos regulamentos. Para o caso norte-americano, tomou-se como base o trabalho de Slating e Kesan (2011), para quem o esquema </w:t>
      </w:r>
      <w:r w:rsidR="007317F7">
        <w:rPr>
          <w:rFonts w:ascii="Times New Roman" w:hAnsi="Times New Roman" w:cs="Times New Roman"/>
          <w:sz w:val="24"/>
          <w:szCs w:val="24"/>
        </w:rPr>
        <w:t>regulatório atual inibe determinada</w:t>
      </w:r>
      <w:r>
        <w:rPr>
          <w:rFonts w:ascii="Times New Roman" w:hAnsi="Times New Roman" w:cs="Times New Roman"/>
          <w:sz w:val="24"/>
          <w:szCs w:val="24"/>
        </w:rPr>
        <w:t>s atividades de i</w:t>
      </w:r>
      <w:r w:rsidR="00C168EA">
        <w:rPr>
          <w:rFonts w:ascii="Times New Roman" w:hAnsi="Times New Roman" w:cs="Times New Roman"/>
          <w:sz w:val="24"/>
          <w:szCs w:val="24"/>
        </w:rPr>
        <w:t>novação. O que se ressaltou, porém,</w:t>
      </w:r>
      <w:r>
        <w:rPr>
          <w:rFonts w:ascii="Times New Roman" w:hAnsi="Times New Roman" w:cs="Times New Roman"/>
          <w:sz w:val="24"/>
          <w:szCs w:val="24"/>
        </w:rPr>
        <w:t xml:space="preserve"> é que a estrutura de incentivos do RFS2 está fortemente associada ao desempenho ambiental dos </w:t>
      </w:r>
      <w:r>
        <w:rPr>
          <w:rFonts w:ascii="Times New Roman" w:hAnsi="Times New Roman" w:cs="Times New Roman"/>
          <w:sz w:val="24"/>
          <w:szCs w:val="24"/>
        </w:rPr>
        <w:lastRenderedPageBreak/>
        <w:t>combustíveis e os instrumentos de controle adotados não poderiam ser mais flexíveis, sob risco de prejudicar a qualidade dos produtos comercializados e a legitimidade da atividade regulatória.</w:t>
      </w:r>
    </w:p>
    <w:p w:rsidR="00715F5B" w:rsidRDefault="00715F5B" w:rsidP="00715F5B">
      <w:pPr>
        <w:spacing w:line="360" w:lineRule="auto"/>
        <w:ind w:firstLine="708"/>
        <w:rPr>
          <w:rFonts w:ascii="Times New Roman" w:hAnsi="Times New Roman" w:cs="Times New Roman"/>
          <w:sz w:val="24"/>
          <w:szCs w:val="24"/>
        </w:rPr>
      </w:pPr>
      <w:r w:rsidRPr="00B15D09">
        <w:rPr>
          <w:rFonts w:ascii="Times New Roman" w:hAnsi="Times New Roman" w:cs="Times New Roman"/>
          <w:sz w:val="24"/>
          <w:szCs w:val="24"/>
        </w:rPr>
        <w:t>A</w:t>
      </w:r>
      <w:r>
        <w:rPr>
          <w:rFonts w:ascii="Times New Roman" w:hAnsi="Times New Roman" w:cs="Times New Roman"/>
          <w:sz w:val="24"/>
          <w:szCs w:val="24"/>
        </w:rPr>
        <w:t>lém disso, a</w:t>
      </w:r>
      <w:r w:rsidRPr="00B15D09">
        <w:rPr>
          <w:rFonts w:ascii="Times New Roman" w:hAnsi="Times New Roman" w:cs="Times New Roman"/>
          <w:sz w:val="24"/>
          <w:szCs w:val="24"/>
        </w:rPr>
        <w:t xml:space="preserve"> </w:t>
      </w:r>
      <w:r>
        <w:rPr>
          <w:rFonts w:ascii="Times New Roman" w:hAnsi="Times New Roman" w:cs="Times New Roman"/>
          <w:sz w:val="24"/>
          <w:szCs w:val="24"/>
        </w:rPr>
        <w:t xml:space="preserve">adaptação de regras e normas que acompanhe mudanças na estrutura da indústria e nas demais esferas de atuação do governo é um importante desafio à regulação. Sobre a relação do regulador com as demais organizações, públicas e privadas, é importante fazer duas observações. </w:t>
      </w:r>
    </w:p>
    <w:p w:rsidR="00715F5B" w:rsidRPr="00B15D09" w:rsidRDefault="00715F5B" w:rsidP="00715F5B">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Primeiro, a </w:t>
      </w:r>
      <w:r w:rsidRPr="00B15D09">
        <w:rPr>
          <w:rFonts w:ascii="Times New Roman" w:hAnsi="Times New Roman" w:cs="Times New Roman"/>
          <w:sz w:val="24"/>
          <w:szCs w:val="24"/>
        </w:rPr>
        <w:t>despeito de muitos exemplos utilizados para se provar o contrário, a relação entre empresas e órgão regulador nem sempre deve ser vista como tentativa de captura deste por aquelas, uma vez que também é responsável por capacitar o regulador e por contribuir com a formação do consenso necessário para que as políticas públicas sejam executadas com maior aval.</w:t>
      </w:r>
    </w:p>
    <w:p w:rsidR="00715F5B" w:rsidRDefault="00715F5B" w:rsidP="00715F5B">
      <w:pPr>
        <w:spacing w:line="360" w:lineRule="auto"/>
        <w:ind w:firstLine="708"/>
        <w:rPr>
          <w:rFonts w:ascii="Times New Roman" w:hAnsi="Times New Roman" w:cs="Times New Roman"/>
          <w:sz w:val="24"/>
          <w:szCs w:val="24"/>
        </w:rPr>
      </w:pPr>
      <w:r w:rsidRPr="00B15D09">
        <w:rPr>
          <w:rFonts w:ascii="Times New Roman" w:hAnsi="Times New Roman" w:cs="Times New Roman"/>
          <w:sz w:val="24"/>
          <w:szCs w:val="24"/>
        </w:rPr>
        <w:t xml:space="preserve">A complexa rede de organizações que participam do processo de criação de programas de incentivo à produção de biocombustíveis consiste em uma arena de intercâmbio político, em que os agentes privados buscam influenciar as políticas públicas e o Estado busca influenciar na articulação de interesses privados. </w:t>
      </w:r>
    </w:p>
    <w:p w:rsidR="00715F5B" w:rsidRPr="00690D5F" w:rsidRDefault="00715F5B" w:rsidP="00715F5B">
      <w:pPr>
        <w:spacing w:line="360" w:lineRule="auto"/>
        <w:ind w:firstLine="708"/>
        <w:rPr>
          <w:rFonts w:ascii="Times New Roman" w:hAnsi="Times New Roman" w:cs="Times New Roman"/>
          <w:sz w:val="24"/>
          <w:szCs w:val="24"/>
        </w:rPr>
      </w:pPr>
      <w:r>
        <w:rPr>
          <w:rFonts w:ascii="Times New Roman" w:hAnsi="Times New Roman" w:cs="Times New Roman"/>
          <w:sz w:val="24"/>
          <w:szCs w:val="24"/>
        </w:rPr>
        <w:t>Segundo, a relação da regulação com as políticas públicas setoriais envolve uma capacitação que transcende o nível organizacional e está associada ao que talvez se aproxime do que na análise de Geels (2004) é chamado de nível panorâmico. À medida que as políticas buscam responder a demandas sociais, elas refletem também crenças, hábitos, costumes. A coordenação dos objetivos e interesses nessa dimensão mais ampla da atuação do Estado certamente é um desafio ainda maior.</w:t>
      </w:r>
    </w:p>
    <w:p w:rsidR="00715F5B" w:rsidRDefault="00715F5B" w:rsidP="00715F5B">
      <w:pPr>
        <w:rPr>
          <w:rFonts w:ascii="Times New Roman" w:eastAsiaTheme="majorEastAsia" w:hAnsi="Times New Roman" w:cstheme="majorBidi"/>
          <w:b/>
          <w:bCs/>
          <w:caps/>
          <w:sz w:val="24"/>
          <w:szCs w:val="28"/>
        </w:rPr>
      </w:pPr>
      <w:bookmarkStart w:id="137" w:name="_Toc330506384"/>
      <w:r>
        <w:br w:type="page"/>
      </w:r>
    </w:p>
    <w:p w:rsidR="00715F5B" w:rsidRPr="00EF5A51" w:rsidRDefault="00715F5B" w:rsidP="00EF5A51">
      <w:pPr>
        <w:pStyle w:val="Ttulo1"/>
      </w:pPr>
      <w:bookmarkStart w:id="138" w:name="_Toc333911380"/>
      <w:r w:rsidRPr="00EF5A51">
        <w:lastRenderedPageBreak/>
        <w:t>CONCLUSÃO</w:t>
      </w:r>
      <w:bookmarkEnd w:id="137"/>
      <w:bookmarkEnd w:id="138"/>
    </w:p>
    <w:p w:rsidR="00715F5B" w:rsidRDefault="00715F5B" w:rsidP="00715F5B">
      <w:pPr>
        <w:spacing w:line="360" w:lineRule="auto"/>
        <w:ind w:firstLine="708"/>
        <w:rPr>
          <w:rFonts w:ascii="Times New Roman" w:hAnsi="Times New Roman" w:cs="Times New Roman"/>
          <w:sz w:val="24"/>
          <w:szCs w:val="24"/>
          <w:lang w:val="pt-PT"/>
        </w:rPr>
      </w:pPr>
    </w:p>
    <w:p w:rsidR="00020385" w:rsidRPr="00FF020B" w:rsidRDefault="00F9578E" w:rsidP="00FF020B">
      <w:pPr>
        <w:spacing w:line="360" w:lineRule="auto"/>
        <w:ind w:firstLine="708"/>
        <w:rPr>
          <w:rFonts w:ascii="Times New Roman" w:hAnsi="Times New Roman" w:cs="Times New Roman"/>
          <w:sz w:val="24"/>
          <w:szCs w:val="24"/>
          <w:lang w:val="pt-PT"/>
        </w:rPr>
      </w:pPr>
      <w:r w:rsidRPr="00715F57">
        <w:rPr>
          <w:rFonts w:ascii="Times New Roman" w:hAnsi="Times New Roman" w:cs="Times New Roman"/>
          <w:sz w:val="24"/>
          <w:szCs w:val="24"/>
          <w:lang w:val="pt-PT"/>
        </w:rPr>
        <w:t xml:space="preserve">À luz do que foi apresentado nos três capítulos, retorna-se à pergunta que governou este trabalho: </w:t>
      </w:r>
      <w:r w:rsidR="00020385" w:rsidRPr="00715F57">
        <w:rPr>
          <w:rFonts w:ascii="Times New Roman" w:hAnsi="Times New Roman" w:cs="Times New Roman"/>
          <w:sz w:val="24"/>
          <w:szCs w:val="24"/>
          <w:lang w:val="pt-PT"/>
        </w:rPr>
        <w:t>Como e com que velocidade a regulação setorial respon</w:t>
      </w:r>
      <w:r w:rsidR="00715F57" w:rsidRPr="00715F57">
        <w:rPr>
          <w:rFonts w:ascii="Times New Roman" w:hAnsi="Times New Roman" w:cs="Times New Roman"/>
          <w:sz w:val="24"/>
          <w:szCs w:val="24"/>
          <w:lang w:val="pt-PT"/>
        </w:rPr>
        <w:t xml:space="preserve">de a </w:t>
      </w:r>
      <w:r w:rsidR="00020385" w:rsidRPr="00715F57">
        <w:rPr>
          <w:rFonts w:ascii="Times New Roman" w:hAnsi="Times New Roman" w:cs="Times New Roman"/>
          <w:sz w:val="24"/>
          <w:szCs w:val="24"/>
          <w:lang w:val="pt-PT"/>
        </w:rPr>
        <w:t xml:space="preserve">mudanças nas políticas públicas que interferem no setor </w:t>
      </w:r>
      <w:r w:rsidR="00715F57" w:rsidRPr="00715F57">
        <w:rPr>
          <w:rFonts w:ascii="Times New Roman" w:hAnsi="Times New Roman" w:cs="Times New Roman"/>
          <w:sz w:val="24"/>
          <w:szCs w:val="24"/>
          <w:lang w:val="pt-PT"/>
        </w:rPr>
        <w:t xml:space="preserve">regulado e a </w:t>
      </w:r>
      <w:r w:rsidR="00F63017" w:rsidRPr="00715F57">
        <w:rPr>
          <w:rFonts w:ascii="Times New Roman" w:hAnsi="Times New Roman" w:cs="Times New Roman"/>
          <w:sz w:val="24"/>
          <w:szCs w:val="24"/>
          <w:lang w:val="pt-PT"/>
        </w:rPr>
        <w:t>mudanças na estrutura industrial, sobretudo aquelas decorrentes da introdução de inovações tecnológicas?</w:t>
      </w:r>
    </w:p>
    <w:p w:rsidR="007A2B40" w:rsidRDefault="00FF020B" w:rsidP="00FF020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N</w:t>
      </w:r>
      <w:r w:rsidR="00CA6A7E" w:rsidRPr="00FF020B">
        <w:rPr>
          <w:rFonts w:ascii="Times New Roman" w:hAnsi="Times New Roman" w:cs="Times New Roman"/>
          <w:sz w:val="24"/>
          <w:szCs w:val="24"/>
          <w:lang w:val="pt-PT"/>
        </w:rPr>
        <w:t>a tentativa de</w:t>
      </w:r>
      <w:r w:rsidR="00CA6A7E" w:rsidRPr="00020385">
        <w:rPr>
          <w:rFonts w:ascii="Times New Roman" w:hAnsi="Times New Roman" w:cs="Times New Roman"/>
          <w:color w:val="FF0000"/>
          <w:sz w:val="24"/>
          <w:szCs w:val="24"/>
          <w:lang w:val="pt-PT"/>
        </w:rPr>
        <w:t xml:space="preserve"> </w:t>
      </w:r>
      <w:r w:rsidR="00CA6A7E">
        <w:rPr>
          <w:rFonts w:ascii="Times New Roman" w:hAnsi="Times New Roman" w:cs="Times New Roman"/>
          <w:sz w:val="24"/>
          <w:szCs w:val="24"/>
          <w:lang w:val="pt-PT"/>
        </w:rPr>
        <w:t>construir o cenário complexo em que se insere a</w:t>
      </w:r>
      <w:r>
        <w:rPr>
          <w:rFonts w:ascii="Times New Roman" w:hAnsi="Times New Roman" w:cs="Times New Roman"/>
          <w:sz w:val="24"/>
          <w:szCs w:val="24"/>
          <w:lang w:val="pt-PT"/>
        </w:rPr>
        <w:t xml:space="preserve"> regulação da</w:t>
      </w:r>
      <w:r w:rsidR="00CA6A7E">
        <w:rPr>
          <w:rFonts w:ascii="Times New Roman" w:hAnsi="Times New Roman" w:cs="Times New Roman"/>
          <w:sz w:val="24"/>
          <w:szCs w:val="24"/>
          <w:lang w:val="pt-PT"/>
        </w:rPr>
        <w:t xml:space="preserve"> produção de biocombus</w:t>
      </w:r>
      <w:r>
        <w:rPr>
          <w:rFonts w:ascii="Times New Roman" w:hAnsi="Times New Roman" w:cs="Times New Roman"/>
          <w:sz w:val="24"/>
          <w:szCs w:val="24"/>
          <w:lang w:val="pt-PT"/>
        </w:rPr>
        <w:t xml:space="preserve">tíveis, foram apresentados, de um lado, a dinâmica de inovação na indústria baseada em biomassa, e de outro, as políticas que visam a promover este segmento energético. </w:t>
      </w:r>
      <w:r w:rsidR="007A2B40">
        <w:rPr>
          <w:rFonts w:ascii="Times New Roman" w:hAnsi="Times New Roman" w:cs="Times New Roman"/>
          <w:sz w:val="24"/>
          <w:szCs w:val="24"/>
          <w:lang w:val="pt-PT"/>
        </w:rPr>
        <w:t>A evolução da bioindústria revela que os biocombustíveis serão um dos produtos em sua pauta cada vez mais diversificada. A pressão pela expansão da oferta energética associada à necessidade de redução de emissões de GEE constitui um problema para o qual empresas de diversos setores, individualmente ou por meio de acordos de cooperação, têm buscado uma solução.</w:t>
      </w:r>
    </w:p>
    <w:p w:rsidR="00715F5B" w:rsidRPr="00FF020B" w:rsidRDefault="00FF020B" w:rsidP="007A2B40">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Observou-se que a regulação</w:t>
      </w:r>
      <w:r w:rsidR="00715F5B">
        <w:rPr>
          <w:rFonts w:ascii="Times New Roman" w:hAnsi="Times New Roman" w:cs="Times New Roman"/>
          <w:sz w:val="24"/>
          <w:szCs w:val="24"/>
          <w:lang w:val="pt-PT"/>
        </w:rPr>
        <w:t xml:space="preserve"> pode ter efeitos favoráveis e adversos sobre o bem-estar da sociedade e que </w:t>
      </w:r>
      <w:r w:rsidR="007A2B40">
        <w:rPr>
          <w:rFonts w:ascii="Times New Roman" w:hAnsi="Times New Roman" w:cs="Times New Roman"/>
          <w:sz w:val="24"/>
          <w:szCs w:val="24"/>
          <w:lang w:val="pt-PT"/>
        </w:rPr>
        <w:t xml:space="preserve">mesmo as políticas públicas podem </w:t>
      </w:r>
      <w:r w:rsidR="00715F5B">
        <w:rPr>
          <w:rFonts w:ascii="Times New Roman" w:hAnsi="Times New Roman" w:cs="Times New Roman"/>
          <w:sz w:val="24"/>
          <w:szCs w:val="24"/>
          <w:lang w:val="pt-PT"/>
        </w:rPr>
        <w:t>t</w:t>
      </w:r>
      <w:r w:rsidR="00AD5C9A">
        <w:rPr>
          <w:rFonts w:ascii="Times New Roman" w:hAnsi="Times New Roman" w:cs="Times New Roman"/>
          <w:sz w:val="24"/>
          <w:szCs w:val="24"/>
          <w:lang w:val="pt-PT"/>
        </w:rPr>
        <w:t>er objetivos</w:t>
      </w:r>
      <w:r w:rsidR="00715F5B">
        <w:rPr>
          <w:rFonts w:ascii="Times New Roman" w:hAnsi="Times New Roman" w:cs="Times New Roman"/>
          <w:sz w:val="24"/>
          <w:szCs w:val="24"/>
          <w:lang w:val="pt-PT"/>
        </w:rPr>
        <w:t xml:space="preserve"> não necessariamente convergentes. </w:t>
      </w:r>
      <w:r w:rsidR="007A2B40">
        <w:rPr>
          <w:rFonts w:ascii="Times New Roman" w:hAnsi="Times New Roman" w:cs="Times New Roman"/>
          <w:sz w:val="24"/>
          <w:szCs w:val="24"/>
          <w:lang w:val="pt-PT"/>
        </w:rPr>
        <w:t xml:space="preserve">Desse modo, foi </w:t>
      </w:r>
      <w:r w:rsidR="00715F5B">
        <w:rPr>
          <w:rFonts w:ascii="Times New Roman" w:hAnsi="Times New Roman" w:cs="Times New Roman"/>
          <w:sz w:val="24"/>
          <w:szCs w:val="24"/>
          <w:lang w:val="pt-PT"/>
        </w:rPr>
        <w:t xml:space="preserve">enfatizada a diversidade de organizações e objetivos que, por um lado, legitimam o processo democrático, e por outro, tornam mais complexa a tarefa do </w:t>
      </w:r>
      <w:r w:rsidR="00715F5B" w:rsidRPr="004D2AF0">
        <w:rPr>
          <w:rFonts w:ascii="Times New Roman" w:hAnsi="Times New Roman" w:cs="Times New Roman"/>
          <w:i/>
          <w:sz w:val="24"/>
          <w:szCs w:val="24"/>
          <w:lang w:val="pt-PT"/>
        </w:rPr>
        <w:t>policymaker</w:t>
      </w:r>
      <w:r w:rsidR="00715F5B">
        <w:rPr>
          <w:rFonts w:ascii="Times New Roman" w:hAnsi="Times New Roman" w:cs="Times New Roman"/>
          <w:sz w:val="24"/>
          <w:szCs w:val="24"/>
          <w:lang w:val="pt-PT"/>
        </w:rPr>
        <w:t>, que pode ser visto também como um a</w:t>
      </w:r>
      <w:r w:rsidR="00715F5B">
        <w:rPr>
          <w:rFonts w:ascii="Times New Roman" w:hAnsi="Times New Roman" w:cs="Times New Roman"/>
          <w:sz w:val="24"/>
          <w:szCs w:val="24"/>
        </w:rPr>
        <w:t>dministrador de conflitos.</w:t>
      </w:r>
    </w:p>
    <w:p w:rsidR="00715F5B" w:rsidRDefault="007A2B40" w:rsidP="00715F5B">
      <w:pPr>
        <w:spacing w:line="360" w:lineRule="auto"/>
        <w:ind w:firstLine="708"/>
        <w:rPr>
          <w:rFonts w:ascii="Times New Roman" w:hAnsi="Times New Roman" w:cs="Times New Roman"/>
          <w:sz w:val="24"/>
          <w:szCs w:val="24"/>
          <w:lang w:val="pt-PT"/>
        </w:rPr>
      </w:pPr>
      <w:r>
        <w:rPr>
          <w:rFonts w:ascii="Times New Roman" w:hAnsi="Times New Roman" w:cs="Times New Roman"/>
          <w:sz w:val="24"/>
          <w:szCs w:val="24"/>
          <w:lang w:val="pt-PT"/>
        </w:rPr>
        <w:t>Apresentam</w:t>
      </w:r>
      <w:r w:rsidR="00715F5B">
        <w:rPr>
          <w:rFonts w:ascii="Times New Roman" w:hAnsi="Times New Roman" w:cs="Times New Roman"/>
          <w:sz w:val="24"/>
          <w:szCs w:val="24"/>
          <w:lang w:val="pt-PT"/>
        </w:rPr>
        <w:t>-se, portanto, diversas fontes de mudanças e pressões que afetam a atividade do regulador e requerem uma resposta de sua pa</w:t>
      </w:r>
      <w:r>
        <w:rPr>
          <w:rFonts w:ascii="Times New Roman" w:hAnsi="Times New Roman" w:cs="Times New Roman"/>
          <w:sz w:val="24"/>
          <w:szCs w:val="24"/>
          <w:lang w:val="pt-PT"/>
        </w:rPr>
        <w:t>rte. Nesse sentido, espera-se que as instituições acompanhem</w:t>
      </w:r>
      <w:r w:rsidR="00715F5B">
        <w:rPr>
          <w:rFonts w:ascii="Times New Roman" w:hAnsi="Times New Roman" w:cs="Times New Roman"/>
          <w:sz w:val="24"/>
          <w:szCs w:val="24"/>
          <w:lang w:val="pt-PT"/>
        </w:rPr>
        <w:t xml:space="preserve"> as mudanças tecnológicas. Com efeito, as instituições apresentam certa estabilidade e o processo de mudança institucional, bem como sua influência sobre a atividade econômica, é muito mais difícil de controlar do que a mudança tecnológica. Ele é resultado de ações deliberadas (pelo governo, por exemplo), combinadas com ações descentralizadas, que envolvem expectativas, hábitos e normas amplamente aceitas pelos agentes envolvidos, mas que não podem ser impostas. Por isso, em muitos casos, as instituições dominantes são vistas como obstáculos ao progresso econômico e tecnológico (NELSON, 2008). </w:t>
      </w:r>
    </w:p>
    <w:p w:rsidR="00C32934" w:rsidRPr="00235B6E" w:rsidRDefault="00C32934" w:rsidP="00C32934">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O caso brasileiro mostrou que a necessidade de ajustamento se tornou mais contundente após a publicação de políticas municipais que seguiram as diretrizes da Política Nacional de Mudanças Climáticas. Atualmente, a proposta de um novo regulamento para uso de biocombustíveis não especificados busca incorporar as inovações dessa indústria, ao mesmo tempo em que considera que a introdução de novos produtos deve ser acompanhada </w:t>
      </w:r>
      <w:r>
        <w:rPr>
          <w:rFonts w:ascii="Times New Roman" w:hAnsi="Times New Roman" w:cs="Times New Roman"/>
          <w:sz w:val="24"/>
          <w:szCs w:val="24"/>
        </w:rPr>
        <w:lastRenderedPageBreak/>
        <w:t>por testes controlados, garantindo que não haja prejuízo ambiental nem ao desempenho dos equipamentos e motores utilizados.</w:t>
      </w:r>
    </w:p>
    <w:p w:rsidR="00C32934" w:rsidRPr="00C32934" w:rsidRDefault="00C32934" w:rsidP="00C32934">
      <w:pPr>
        <w:spacing w:line="360" w:lineRule="auto"/>
        <w:ind w:firstLine="708"/>
        <w:rPr>
          <w:rFonts w:ascii="Times New Roman" w:hAnsi="Times New Roman" w:cs="Times New Roman"/>
          <w:sz w:val="24"/>
          <w:szCs w:val="24"/>
        </w:rPr>
      </w:pPr>
      <w:r>
        <w:rPr>
          <w:rFonts w:ascii="Times New Roman" w:hAnsi="Times New Roman" w:cs="Times New Roman"/>
          <w:sz w:val="24"/>
          <w:szCs w:val="24"/>
        </w:rPr>
        <w:t>A existência de procedimentos padronizados, como a realização de consultas públicas para o novo regulamento, assim como as consultas junto aos agentes por ele afetados, alinha-se com os pré-requisitos de transparência e consenso, necessários à construção de uma política energética coesa.</w:t>
      </w:r>
      <w:r w:rsidRPr="00565D80">
        <w:rPr>
          <w:rFonts w:ascii="Times New Roman" w:hAnsi="Times New Roman" w:cs="Times New Roman"/>
          <w:sz w:val="24"/>
          <w:szCs w:val="24"/>
        </w:rPr>
        <w:t xml:space="preserve"> </w:t>
      </w:r>
      <w:r>
        <w:rPr>
          <w:rFonts w:ascii="Times New Roman" w:hAnsi="Times New Roman" w:cs="Times New Roman"/>
          <w:sz w:val="24"/>
          <w:szCs w:val="24"/>
        </w:rPr>
        <w:t>A participação dos agentes econômicos é de extrema importância para a definição dos pilares institucionais que sustentarão as relações entre os agentes no longo prazo. Ademais, tais procedimentos encontram respaldo nos argumentos de Levy e Spiller (1994), isto é, são importante elemento da estrutura de governança regulatória, que confere credibilidade ao órgão regulador.</w:t>
      </w:r>
    </w:p>
    <w:p w:rsidR="00715F5B" w:rsidRDefault="00C32934" w:rsidP="00715F5B">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ab/>
        <w:t>O exercício</w:t>
      </w:r>
      <w:r w:rsidR="00715F5B">
        <w:rPr>
          <w:rFonts w:ascii="Times New Roman" w:hAnsi="Times New Roman" w:cs="Times New Roman"/>
          <w:sz w:val="24"/>
          <w:szCs w:val="24"/>
          <w:lang w:val="pt-PT"/>
        </w:rPr>
        <w:t xml:space="preserve"> realizado</w:t>
      </w:r>
      <w:r>
        <w:rPr>
          <w:rFonts w:ascii="Times New Roman" w:hAnsi="Times New Roman" w:cs="Times New Roman"/>
          <w:sz w:val="24"/>
          <w:szCs w:val="24"/>
          <w:lang w:val="pt-PT"/>
        </w:rPr>
        <w:t xml:space="preserve"> neste trabalho</w:t>
      </w:r>
      <w:r w:rsidR="00715F5B">
        <w:rPr>
          <w:rFonts w:ascii="Times New Roman" w:hAnsi="Times New Roman" w:cs="Times New Roman"/>
          <w:sz w:val="24"/>
          <w:szCs w:val="24"/>
          <w:lang w:val="pt-PT"/>
        </w:rPr>
        <w:t xml:space="preserve"> chamou atenção para a importância da dimensão sociopolítica, em que se inclui a regulação, no processo de desenvolvimento tecnológico vivenciado pela indústria de biocombustíveis, além de ser uma tentativa de resposta à provocação feita por Malerba:</w:t>
      </w:r>
    </w:p>
    <w:p w:rsidR="00715F5B" w:rsidRDefault="00715F5B" w:rsidP="00715F5B">
      <w:pPr>
        <w:spacing w:line="360" w:lineRule="auto"/>
        <w:rPr>
          <w:rFonts w:ascii="Times New Roman" w:hAnsi="Times New Roman" w:cs="Times New Roman"/>
          <w:sz w:val="24"/>
          <w:szCs w:val="24"/>
          <w:lang w:val="pt-PT"/>
        </w:rPr>
      </w:pPr>
    </w:p>
    <w:p w:rsidR="00715F5B" w:rsidRPr="009B4180" w:rsidRDefault="00715F5B" w:rsidP="00715F5B">
      <w:pPr>
        <w:ind w:left="2268"/>
        <w:rPr>
          <w:rFonts w:ascii="Times New Roman" w:hAnsi="Times New Roman" w:cs="Times New Roman"/>
          <w:lang w:val="en-US"/>
        </w:rPr>
      </w:pPr>
      <w:r w:rsidRPr="009B4180">
        <w:rPr>
          <w:rFonts w:ascii="Times New Roman" w:hAnsi="Times New Roman" w:cs="Times New Roman"/>
          <w:lang w:val="en-US"/>
        </w:rPr>
        <w:t>The challenge for research here is to go to a much finer analysis at both empirical and theoretical levels, and to move from the statement that everything is coevolving with everything else to the identification of what is coevolving with what, how intense is this process a</w:t>
      </w:r>
      <w:r>
        <w:rPr>
          <w:rFonts w:ascii="Times New Roman" w:hAnsi="Times New Roman" w:cs="Times New Roman"/>
          <w:lang w:val="en-US"/>
        </w:rPr>
        <w:t>nd whether indeed there is a bi-</w:t>
      </w:r>
      <w:r w:rsidRPr="009B4180">
        <w:rPr>
          <w:rFonts w:ascii="Times New Roman" w:hAnsi="Times New Roman" w:cs="Times New Roman"/>
          <w:lang w:val="en-US"/>
        </w:rPr>
        <w:t>direction of causality</w:t>
      </w:r>
      <w:r>
        <w:rPr>
          <w:rFonts w:ascii="Times New Roman" w:hAnsi="Times New Roman" w:cs="Times New Roman"/>
          <w:lang w:val="en-US"/>
        </w:rPr>
        <w:t xml:space="preserve"> </w:t>
      </w:r>
      <w:r w:rsidRPr="00D47397">
        <w:rPr>
          <w:rFonts w:ascii="Times New Roman" w:hAnsi="Times New Roman" w:cs="Times New Roman"/>
          <w:lang w:val="en-US"/>
        </w:rPr>
        <w:t>(</w:t>
      </w:r>
      <w:r w:rsidR="001269A1">
        <w:rPr>
          <w:rFonts w:ascii="Times New Roman" w:hAnsi="Times New Roman" w:cs="Times New Roman"/>
          <w:lang w:val="en-US"/>
        </w:rPr>
        <w:t>MALERBA</w:t>
      </w:r>
      <w:r>
        <w:rPr>
          <w:rFonts w:ascii="Times New Roman" w:hAnsi="Times New Roman" w:cs="Times New Roman"/>
          <w:lang w:val="en-US"/>
        </w:rPr>
        <w:t xml:space="preserve">, </w:t>
      </w:r>
      <w:r w:rsidRPr="00D47397">
        <w:rPr>
          <w:rFonts w:ascii="Times New Roman" w:hAnsi="Times New Roman" w:cs="Times New Roman"/>
          <w:lang w:val="en-US"/>
        </w:rPr>
        <w:t>2006, p. 18)</w:t>
      </w:r>
      <w:r w:rsidRPr="009B4180">
        <w:rPr>
          <w:rFonts w:ascii="Times New Roman" w:hAnsi="Times New Roman" w:cs="Times New Roman"/>
          <w:lang w:val="en-US"/>
        </w:rPr>
        <w:t>.</w:t>
      </w:r>
    </w:p>
    <w:p w:rsidR="00715F5B" w:rsidRPr="0035093E" w:rsidRDefault="00715F5B" w:rsidP="00715F5B">
      <w:pPr>
        <w:spacing w:line="360" w:lineRule="auto"/>
        <w:rPr>
          <w:rFonts w:ascii="Times New Roman" w:hAnsi="Times New Roman" w:cs="Times New Roman"/>
          <w:sz w:val="24"/>
          <w:szCs w:val="24"/>
          <w:lang w:val="en-US"/>
        </w:rPr>
      </w:pPr>
    </w:p>
    <w:p w:rsidR="00715F5B" w:rsidRDefault="00755BAB" w:rsidP="00715F5B">
      <w:pPr>
        <w:spacing w:line="360" w:lineRule="auto"/>
        <w:ind w:firstLine="708"/>
        <w:rPr>
          <w:rFonts w:ascii="Times New Roman" w:hAnsi="Times New Roman" w:cs="Times New Roman"/>
          <w:sz w:val="24"/>
          <w:szCs w:val="24"/>
        </w:rPr>
      </w:pPr>
      <w:r>
        <w:rPr>
          <w:rFonts w:ascii="Times New Roman" w:hAnsi="Times New Roman" w:cs="Times New Roman"/>
          <w:sz w:val="24"/>
          <w:szCs w:val="24"/>
        </w:rPr>
        <w:t>Desse modo, o conceito de</w:t>
      </w:r>
      <w:r w:rsidR="00715F5B">
        <w:rPr>
          <w:rFonts w:ascii="Times New Roman" w:hAnsi="Times New Roman" w:cs="Times New Roman"/>
          <w:sz w:val="24"/>
          <w:szCs w:val="24"/>
        </w:rPr>
        <w:t xml:space="preserve"> </w:t>
      </w:r>
      <w:r>
        <w:rPr>
          <w:rFonts w:ascii="Times New Roman" w:hAnsi="Times New Roman" w:cs="Times New Roman"/>
          <w:sz w:val="24"/>
          <w:szCs w:val="24"/>
        </w:rPr>
        <w:t xml:space="preserve">adaptação regulatória se aplica à </w:t>
      </w:r>
      <w:r w:rsidR="00715F5B">
        <w:rPr>
          <w:rFonts w:ascii="Times New Roman" w:hAnsi="Times New Roman" w:cs="Times New Roman"/>
          <w:sz w:val="24"/>
          <w:szCs w:val="24"/>
        </w:rPr>
        <w:t xml:space="preserve">forma </w:t>
      </w:r>
      <w:r>
        <w:rPr>
          <w:rFonts w:ascii="Times New Roman" w:hAnsi="Times New Roman" w:cs="Times New Roman"/>
          <w:sz w:val="24"/>
          <w:szCs w:val="24"/>
        </w:rPr>
        <w:t xml:space="preserve">com que </w:t>
      </w:r>
      <w:r w:rsidR="00715F5B">
        <w:rPr>
          <w:rFonts w:ascii="Times New Roman" w:hAnsi="Times New Roman" w:cs="Times New Roman"/>
          <w:sz w:val="24"/>
          <w:szCs w:val="24"/>
        </w:rPr>
        <w:t xml:space="preserve">as ações da ANP têm evoluído com as inovações que emergem na bioindústria e também com objetivos de interesse público. </w:t>
      </w:r>
      <w:r w:rsidR="00715F5B" w:rsidRPr="00DB2859">
        <w:rPr>
          <w:rFonts w:ascii="Times New Roman" w:hAnsi="Times New Roman" w:cs="Times New Roman"/>
          <w:sz w:val="24"/>
          <w:szCs w:val="24"/>
        </w:rPr>
        <w:t xml:space="preserve">Os casos apresentados </w:t>
      </w:r>
      <w:r w:rsidR="008756E7">
        <w:rPr>
          <w:rFonts w:ascii="Times New Roman" w:hAnsi="Times New Roman" w:cs="Times New Roman"/>
          <w:sz w:val="24"/>
          <w:szCs w:val="24"/>
        </w:rPr>
        <w:t>mostram</w:t>
      </w:r>
      <w:r w:rsidR="00CE0E61">
        <w:rPr>
          <w:rFonts w:ascii="Times New Roman" w:hAnsi="Times New Roman" w:cs="Times New Roman"/>
          <w:sz w:val="24"/>
          <w:szCs w:val="24"/>
        </w:rPr>
        <w:t xml:space="preserve"> que</w:t>
      </w:r>
      <w:r w:rsidR="00C9537D">
        <w:rPr>
          <w:rFonts w:ascii="Times New Roman" w:hAnsi="Times New Roman" w:cs="Times New Roman"/>
          <w:sz w:val="24"/>
          <w:szCs w:val="24"/>
        </w:rPr>
        <w:t>, apesar de a adaptação de normas e regras estar sujeita a mecanismos de controle similares aos adotados pela regulação norte-americana,</w:t>
      </w:r>
      <w:r w:rsidR="00CE0E61">
        <w:rPr>
          <w:rFonts w:ascii="Times New Roman" w:hAnsi="Times New Roman" w:cs="Times New Roman"/>
          <w:sz w:val="24"/>
          <w:szCs w:val="24"/>
        </w:rPr>
        <w:t xml:space="preserve"> a complexidade do desenho institucional brasileiro é menos favorável à coordenação da regulação com os objetivos de políticas públicas</w:t>
      </w:r>
      <w:r w:rsidR="00C9537D">
        <w:rPr>
          <w:rFonts w:ascii="Times New Roman" w:hAnsi="Times New Roman" w:cs="Times New Roman"/>
          <w:sz w:val="24"/>
          <w:szCs w:val="24"/>
        </w:rPr>
        <w:t>.</w:t>
      </w:r>
    </w:p>
    <w:p w:rsidR="00715F5B" w:rsidRPr="00737E15" w:rsidRDefault="00F63017" w:rsidP="00715F5B">
      <w:pPr>
        <w:spacing w:line="360" w:lineRule="auto"/>
        <w:ind w:firstLine="708"/>
        <w:rPr>
          <w:rFonts w:ascii="Times New Roman" w:hAnsi="Times New Roman" w:cs="Times New Roman"/>
          <w:sz w:val="24"/>
          <w:szCs w:val="24"/>
          <w:lang w:val="pt-PT"/>
        </w:rPr>
      </w:pPr>
      <w:r w:rsidRPr="008F69DF">
        <w:rPr>
          <w:rFonts w:ascii="Times New Roman" w:hAnsi="Times New Roman" w:cs="Times New Roman"/>
          <w:color w:val="000000" w:themeColor="text1"/>
          <w:sz w:val="24"/>
          <w:szCs w:val="24"/>
          <w:lang w:val="pt-PT"/>
        </w:rPr>
        <w:t>A questão que motivou o estudo</w:t>
      </w:r>
      <w:r w:rsidR="00715F5B" w:rsidRPr="008F69DF">
        <w:rPr>
          <w:rFonts w:ascii="Times New Roman" w:hAnsi="Times New Roman" w:cs="Times New Roman"/>
          <w:color w:val="000000" w:themeColor="text1"/>
          <w:sz w:val="24"/>
          <w:szCs w:val="24"/>
          <w:lang w:val="pt-PT"/>
        </w:rPr>
        <w:t xml:space="preserve"> </w:t>
      </w:r>
      <w:r w:rsidRPr="008F69DF">
        <w:rPr>
          <w:rFonts w:ascii="Times New Roman" w:hAnsi="Times New Roman" w:cs="Times New Roman"/>
          <w:color w:val="000000" w:themeColor="text1"/>
          <w:sz w:val="24"/>
          <w:szCs w:val="24"/>
          <w:lang w:val="pt-PT"/>
        </w:rPr>
        <w:t>d</w:t>
      </w:r>
      <w:r w:rsidR="00715F5B" w:rsidRPr="008F69DF">
        <w:rPr>
          <w:rFonts w:ascii="Times New Roman" w:hAnsi="Times New Roman" w:cs="Times New Roman"/>
          <w:color w:val="000000" w:themeColor="text1"/>
          <w:sz w:val="24"/>
          <w:szCs w:val="24"/>
          <w:lang w:val="pt-PT"/>
        </w:rPr>
        <w:t>essa capacidade de resposta do regulador frente às mudanças na indústria e em outras políticas está associada aos incentivos e obstáculos à inovação tecnológica</w:t>
      </w:r>
      <w:r w:rsidR="008F69DF" w:rsidRPr="008F69DF">
        <w:rPr>
          <w:rFonts w:ascii="Times New Roman" w:hAnsi="Times New Roman" w:cs="Times New Roman"/>
          <w:color w:val="000000" w:themeColor="text1"/>
          <w:sz w:val="24"/>
          <w:szCs w:val="24"/>
          <w:lang w:val="pt-PT"/>
        </w:rPr>
        <w:t>, mas</w:t>
      </w:r>
      <w:r w:rsidR="00CE0E61">
        <w:rPr>
          <w:rFonts w:ascii="Times New Roman" w:hAnsi="Times New Roman" w:cs="Times New Roman"/>
          <w:color w:val="000000" w:themeColor="text1"/>
          <w:sz w:val="24"/>
          <w:szCs w:val="24"/>
          <w:lang w:val="pt-PT"/>
        </w:rPr>
        <w:t>,</w:t>
      </w:r>
      <w:r w:rsidR="008F69DF" w:rsidRPr="008F69DF">
        <w:rPr>
          <w:rFonts w:ascii="Times New Roman" w:hAnsi="Times New Roman" w:cs="Times New Roman"/>
          <w:color w:val="000000" w:themeColor="text1"/>
          <w:sz w:val="24"/>
          <w:szCs w:val="24"/>
          <w:lang w:val="pt-PT"/>
        </w:rPr>
        <w:t xml:space="preserve"> no limite</w:t>
      </w:r>
      <w:r w:rsidR="00CE0E61">
        <w:rPr>
          <w:rFonts w:ascii="Times New Roman" w:hAnsi="Times New Roman" w:cs="Times New Roman"/>
          <w:color w:val="000000" w:themeColor="text1"/>
          <w:sz w:val="24"/>
          <w:szCs w:val="24"/>
          <w:lang w:val="pt-PT"/>
        </w:rPr>
        <w:t>, pode se transformar em</w:t>
      </w:r>
      <w:r w:rsidR="008F69DF" w:rsidRPr="008F69DF">
        <w:rPr>
          <w:rFonts w:ascii="Times New Roman" w:hAnsi="Times New Roman" w:cs="Times New Roman"/>
          <w:color w:val="000000" w:themeColor="text1"/>
          <w:sz w:val="24"/>
          <w:szCs w:val="24"/>
          <w:lang w:val="pt-PT"/>
        </w:rPr>
        <w:t xml:space="preserve"> uma questão de coordenação governamental. A mudança de regras e normas</w:t>
      </w:r>
      <w:r w:rsidR="00715F5B">
        <w:rPr>
          <w:rFonts w:ascii="Times New Roman" w:hAnsi="Times New Roman" w:cs="Times New Roman"/>
          <w:sz w:val="24"/>
          <w:szCs w:val="24"/>
          <w:lang w:val="pt-PT"/>
        </w:rPr>
        <w:t xml:space="preserve"> pode</w:t>
      </w:r>
      <w:r w:rsidR="00755BAB">
        <w:rPr>
          <w:rFonts w:ascii="Times New Roman" w:hAnsi="Times New Roman" w:cs="Times New Roman"/>
          <w:sz w:val="24"/>
          <w:szCs w:val="24"/>
          <w:lang w:val="pt-PT"/>
        </w:rPr>
        <w:t>ria</w:t>
      </w:r>
      <w:r w:rsidR="00715F5B">
        <w:rPr>
          <w:rFonts w:ascii="Times New Roman" w:hAnsi="Times New Roman" w:cs="Times New Roman"/>
          <w:sz w:val="24"/>
          <w:szCs w:val="24"/>
          <w:lang w:val="pt-PT"/>
        </w:rPr>
        <w:t xml:space="preserve"> ser considerada</w:t>
      </w:r>
      <w:r w:rsidR="00715F5B" w:rsidRPr="00737E15">
        <w:rPr>
          <w:rFonts w:ascii="Times New Roman" w:hAnsi="Times New Roman" w:cs="Times New Roman"/>
          <w:sz w:val="24"/>
          <w:szCs w:val="24"/>
          <w:lang w:val="pt-PT"/>
        </w:rPr>
        <w:t xml:space="preserve"> uma questão de adaptação em nível organizacional, porém é preciso enfatizar que a estrutura de incentivos não se encerra na regulação. Ela envolve um amplo conjunto de medidas governamentais, como a disponibilidade e o acesso a linhas de financiamento, tributação diferenciada, política de preços para comb</w:t>
      </w:r>
      <w:r w:rsidR="00F67C49">
        <w:rPr>
          <w:rFonts w:ascii="Times New Roman" w:hAnsi="Times New Roman" w:cs="Times New Roman"/>
          <w:sz w:val="24"/>
          <w:szCs w:val="24"/>
          <w:lang w:val="pt-PT"/>
        </w:rPr>
        <w:t>ustíveis fósseis, entre outras.</w:t>
      </w:r>
    </w:p>
    <w:p w:rsidR="00715F5B" w:rsidRDefault="00F96BD5" w:rsidP="00F96BD5">
      <w:pPr>
        <w:spacing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Para que a política energética nacional efetivamente consiga fazer com que a ampla disponibilidade recursos naturais seja explorada em favor do </w:t>
      </w:r>
      <w:r w:rsidRPr="001044E9">
        <w:rPr>
          <w:rFonts w:ascii="Times New Roman" w:hAnsi="Times New Roman" w:cs="Times New Roman"/>
          <w:sz w:val="24"/>
          <w:szCs w:val="24"/>
        </w:rPr>
        <w:t>desenvolvimento econômico</w:t>
      </w:r>
      <w:r>
        <w:rPr>
          <w:rFonts w:ascii="Times New Roman" w:hAnsi="Times New Roman" w:cs="Times New Roman"/>
          <w:sz w:val="24"/>
          <w:szCs w:val="24"/>
        </w:rPr>
        <w:t>, é preciso</w:t>
      </w:r>
      <w:r w:rsidRPr="00DD70B2">
        <w:rPr>
          <w:rFonts w:ascii="Times New Roman" w:hAnsi="Times New Roman" w:cs="Times New Roman"/>
          <w:sz w:val="24"/>
          <w:szCs w:val="24"/>
        </w:rPr>
        <w:t xml:space="preserve"> </w:t>
      </w:r>
      <w:r>
        <w:rPr>
          <w:rFonts w:ascii="Times New Roman" w:hAnsi="Times New Roman" w:cs="Times New Roman"/>
          <w:sz w:val="24"/>
          <w:szCs w:val="24"/>
        </w:rPr>
        <w:t>tratar as questões energética</w:t>
      </w:r>
      <w:r w:rsidRPr="00DD70B2">
        <w:rPr>
          <w:rFonts w:ascii="Times New Roman" w:hAnsi="Times New Roman" w:cs="Times New Roman"/>
          <w:sz w:val="24"/>
          <w:szCs w:val="24"/>
        </w:rPr>
        <w:t xml:space="preserve">s </w:t>
      </w:r>
      <w:r>
        <w:rPr>
          <w:rFonts w:ascii="Times New Roman" w:hAnsi="Times New Roman" w:cs="Times New Roman"/>
          <w:sz w:val="24"/>
          <w:szCs w:val="24"/>
        </w:rPr>
        <w:t xml:space="preserve">como parte integrante de um conjunto de políticas que têm impactos sobre diversas áreas em que existe um interesse público, e não como política setorial fragmentada. </w:t>
      </w:r>
      <w:r w:rsidR="00727A7F">
        <w:rPr>
          <w:rFonts w:ascii="Times New Roman" w:hAnsi="Times New Roman" w:cs="Times New Roman"/>
          <w:sz w:val="24"/>
          <w:szCs w:val="24"/>
        </w:rPr>
        <w:t>A</w:t>
      </w:r>
      <w:r w:rsidR="00715F5B">
        <w:rPr>
          <w:rFonts w:ascii="Times New Roman" w:hAnsi="Times New Roman" w:cs="Times New Roman"/>
          <w:sz w:val="24"/>
          <w:szCs w:val="24"/>
        </w:rPr>
        <w:t xml:space="preserve"> diversificação da matriz energética</w:t>
      </w:r>
      <w:r w:rsidR="00F67C49">
        <w:rPr>
          <w:rFonts w:ascii="Times New Roman" w:hAnsi="Times New Roman" w:cs="Times New Roman"/>
          <w:sz w:val="24"/>
          <w:szCs w:val="24"/>
        </w:rPr>
        <w:t>,</w:t>
      </w:r>
      <w:r w:rsidR="00715F5B">
        <w:rPr>
          <w:rFonts w:ascii="Times New Roman" w:hAnsi="Times New Roman" w:cs="Times New Roman"/>
          <w:sz w:val="24"/>
          <w:szCs w:val="24"/>
        </w:rPr>
        <w:t xml:space="preserve"> com o fomento à produção de biocombustíveis em diversos países</w:t>
      </w:r>
      <w:r w:rsidR="00F67C49">
        <w:rPr>
          <w:rFonts w:ascii="Times New Roman" w:hAnsi="Times New Roman" w:cs="Times New Roman"/>
          <w:sz w:val="24"/>
          <w:szCs w:val="24"/>
        </w:rPr>
        <w:t>,</w:t>
      </w:r>
      <w:r w:rsidR="00715F5B">
        <w:rPr>
          <w:rFonts w:ascii="Times New Roman" w:hAnsi="Times New Roman" w:cs="Times New Roman"/>
          <w:sz w:val="24"/>
          <w:szCs w:val="24"/>
        </w:rPr>
        <w:t xml:space="preserve"> atualmente procura equacionar tanto problemas de segurança energética quanto questões ambientais. À medida que o país avança nessa diversificação, maior é a necessidade de coordenação entre agentes, organizações, interesses e objetivos diversos. Trata-se, portanto, de um processo que não se conclui sem “uma árdua</w:t>
      </w:r>
      <w:r w:rsidR="00715F5B" w:rsidRPr="00DD70B2">
        <w:rPr>
          <w:rFonts w:ascii="Times New Roman" w:hAnsi="Times New Roman" w:cs="Times New Roman"/>
          <w:sz w:val="24"/>
          <w:szCs w:val="24"/>
        </w:rPr>
        <w:t xml:space="preserve"> mobilização de recursos técnicos, ger</w:t>
      </w:r>
      <w:r w:rsidR="00715F5B">
        <w:rPr>
          <w:rFonts w:ascii="Times New Roman" w:hAnsi="Times New Roman" w:cs="Times New Roman"/>
          <w:sz w:val="24"/>
          <w:szCs w:val="24"/>
        </w:rPr>
        <w:t xml:space="preserve">enciais, financeiros, políticos e </w:t>
      </w:r>
      <w:r w:rsidR="00715F5B" w:rsidRPr="00DD70B2">
        <w:rPr>
          <w:rFonts w:ascii="Times New Roman" w:hAnsi="Times New Roman" w:cs="Times New Roman"/>
          <w:sz w:val="24"/>
          <w:szCs w:val="24"/>
        </w:rPr>
        <w:t>institucionais</w:t>
      </w:r>
      <w:r w:rsidR="00715F5B">
        <w:rPr>
          <w:rFonts w:ascii="Times New Roman" w:hAnsi="Times New Roman" w:cs="Times New Roman"/>
          <w:sz w:val="24"/>
          <w:szCs w:val="24"/>
        </w:rPr>
        <w:t>”</w:t>
      </w:r>
      <w:r w:rsidR="00715F5B" w:rsidRPr="006D4656">
        <w:rPr>
          <w:rFonts w:ascii="Times New Roman" w:hAnsi="Times New Roman" w:cs="Times New Roman"/>
          <w:sz w:val="24"/>
          <w:szCs w:val="24"/>
        </w:rPr>
        <w:t xml:space="preserve"> </w:t>
      </w:r>
      <w:r w:rsidR="004F4B6E">
        <w:rPr>
          <w:rFonts w:ascii="Times New Roman" w:hAnsi="Times New Roman" w:cs="Times New Roman"/>
          <w:sz w:val="24"/>
          <w:szCs w:val="24"/>
        </w:rPr>
        <w:t>(BICALHO</w:t>
      </w:r>
      <w:r w:rsidR="00715F5B">
        <w:rPr>
          <w:rFonts w:ascii="Times New Roman" w:hAnsi="Times New Roman" w:cs="Times New Roman"/>
          <w:sz w:val="24"/>
          <w:szCs w:val="24"/>
        </w:rPr>
        <w:t>, 2008)</w:t>
      </w:r>
      <w:r w:rsidR="00715F5B" w:rsidRPr="00DD70B2">
        <w:rPr>
          <w:rFonts w:ascii="Times New Roman" w:hAnsi="Times New Roman" w:cs="Times New Roman"/>
          <w:sz w:val="24"/>
          <w:szCs w:val="24"/>
        </w:rPr>
        <w:t xml:space="preserve">. </w:t>
      </w:r>
    </w:p>
    <w:p w:rsidR="0076785A" w:rsidRPr="00FA2873" w:rsidRDefault="00715F5B" w:rsidP="0076785A">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Depois de </w:t>
      </w:r>
      <w:r w:rsidR="006C437A">
        <w:rPr>
          <w:rFonts w:ascii="Times New Roman" w:hAnsi="Times New Roman" w:cs="Times New Roman"/>
          <w:sz w:val="24"/>
          <w:szCs w:val="24"/>
        </w:rPr>
        <w:t xml:space="preserve">ser analisada </w:t>
      </w:r>
      <w:r>
        <w:rPr>
          <w:rFonts w:ascii="Times New Roman" w:hAnsi="Times New Roman" w:cs="Times New Roman"/>
          <w:sz w:val="24"/>
          <w:szCs w:val="24"/>
        </w:rPr>
        <w:t xml:space="preserve">essa pequena parte do processo coevolutivo de tecnologias e aspectos regulatórios, surgem perguntas que podem motivar futuros trabalhos. </w:t>
      </w:r>
      <w:r w:rsidR="006C235C">
        <w:rPr>
          <w:rFonts w:ascii="Times New Roman" w:hAnsi="Times New Roman" w:cs="Times New Roman"/>
          <w:sz w:val="24"/>
          <w:szCs w:val="24"/>
          <w:lang w:val="pt-PT"/>
        </w:rPr>
        <w:t>A primeira delas se refere ao modo c</w:t>
      </w:r>
      <w:r w:rsidR="00763D31">
        <w:rPr>
          <w:rFonts w:ascii="Times New Roman" w:hAnsi="Times New Roman" w:cs="Times New Roman"/>
          <w:sz w:val="24"/>
          <w:szCs w:val="24"/>
          <w:lang w:val="pt-PT"/>
        </w:rPr>
        <w:t>omo o desenho institucional, que reflete a relação da</w:t>
      </w:r>
      <w:r w:rsidR="006C235C" w:rsidRPr="008E1AF9">
        <w:rPr>
          <w:rFonts w:ascii="Times New Roman" w:hAnsi="Times New Roman" w:cs="Times New Roman"/>
          <w:sz w:val="24"/>
          <w:szCs w:val="24"/>
          <w:lang w:val="pt-PT"/>
        </w:rPr>
        <w:t xml:space="preserve"> regulação </w:t>
      </w:r>
      <w:r w:rsidR="00763D31">
        <w:rPr>
          <w:rFonts w:ascii="Times New Roman" w:hAnsi="Times New Roman" w:cs="Times New Roman"/>
          <w:sz w:val="24"/>
          <w:szCs w:val="24"/>
          <w:lang w:val="pt-PT"/>
        </w:rPr>
        <w:t xml:space="preserve">com outras instituições governamentais, </w:t>
      </w:r>
      <w:r w:rsidR="006C235C" w:rsidRPr="008E1AF9">
        <w:rPr>
          <w:rFonts w:ascii="Times New Roman" w:hAnsi="Times New Roman" w:cs="Times New Roman"/>
          <w:sz w:val="24"/>
          <w:szCs w:val="24"/>
          <w:lang w:val="pt-PT"/>
        </w:rPr>
        <w:t>influencia a capacidade de resposta a mudanç</w:t>
      </w:r>
      <w:r w:rsidR="006C235C">
        <w:rPr>
          <w:rFonts w:ascii="Times New Roman" w:hAnsi="Times New Roman" w:cs="Times New Roman"/>
          <w:sz w:val="24"/>
          <w:szCs w:val="24"/>
          <w:lang w:val="pt-PT"/>
        </w:rPr>
        <w:t>as como as tratadas no trabalho.</w:t>
      </w:r>
      <w:r w:rsidR="00D113F4">
        <w:rPr>
          <w:rFonts w:ascii="Times New Roman" w:hAnsi="Times New Roman" w:cs="Times New Roman"/>
          <w:sz w:val="24"/>
          <w:szCs w:val="24"/>
          <w:lang w:val="pt-PT"/>
        </w:rPr>
        <w:t xml:space="preserve"> Este trabalho considerou que a regulação e a política energética estão integradas, compartilhando os mesmos objetivos. </w:t>
      </w:r>
      <w:r w:rsidR="00FA2873" w:rsidRPr="00FA2873">
        <w:rPr>
          <w:rFonts w:ascii="Times New Roman" w:hAnsi="Times New Roman" w:cs="Times New Roman"/>
          <w:sz w:val="24"/>
          <w:szCs w:val="24"/>
        </w:rPr>
        <w:t>Contudo, q</w:t>
      </w:r>
      <w:r w:rsidR="0076785A" w:rsidRPr="00FA2873">
        <w:rPr>
          <w:rFonts w:ascii="Times New Roman" w:hAnsi="Times New Roman" w:cs="Times New Roman"/>
          <w:sz w:val="24"/>
          <w:szCs w:val="24"/>
        </w:rPr>
        <w:t xml:space="preserve">uando os objetivos não são bem definidos, </w:t>
      </w:r>
      <w:r w:rsidR="00FA2873" w:rsidRPr="00FA2873">
        <w:rPr>
          <w:rFonts w:ascii="Times New Roman" w:hAnsi="Times New Roman" w:cs="Times New Roman"/>
          <w:sz w:val="24"/>
          <w:szCs w:val="24"/>
        </w:rPr>
        <w:t>a escolha dos instrumentos de regulação, bem como a capacidade de resposta às demandas externas, fica</w:t>
      </w:r>
      <w:r w:rsidR="00763D31" w:rsidRPr="00FA2873">
        <w:rPr>
          <w:rFonts w:ascii="Times New Roman" w:hAnsi="Times New Roman" w:cs="Times New Roman"/>
          <w:sz w:val="24"/>
          <w:szCs w:val="24"/>
        </w:rPr>
        <w:t xml:space="preserve"> prejudicada.</w:t>
      </w:r>
    </w:p>
    <w:p w:rsidR="00715F5B" w:rsidRDefault="006C235C" w:rsidP="00715F5B">
      <w:pPr>
        <w:spacing w:line="360" w:lineRule="auto"/>
        <w:ind w:firstLine="708"/>
        <w:rPr>
          <w:rFonts w:ascii="Times New Roman" w:hAnsi="Times New Roman" w:cs="Times New Roman"/>
          <w:sz w:val="24"/>
          <w:szCs w:val="24"/>
        </w:rPr>
      </w:pPr>
      <w:r>
        <w:rPr>
          <w:rFonts w:ascii="Times New Roman" w:hAnsi="Times New Roman" w:cs="Times New Roman"/>
          <w:sz w:val="24"/>
          <w:szCs w:val="24"/>
        </w:rPr>
        <w:t>A segunda</w:t>
      </w:r>
      <w:r w:rsidR="00763D31">
        <w:rPr>
          <w:rFonts w:ascii="Times New Roman" w:hAnsi="Times New Roman" w:cs="Times New Roman"/>
          <w:sz w:val="24"/>
          <w:szCs w:val="24"/>
        </w:rPr>
        <w:t xml:space="preserve"> questão</w:t>
      </w:r>
      <w:r w:rsidR="00715F5B">
        <w:rPr>
          <w:rFonts w:ascii="Times New Roman" w:hAnsi="Times New Roman" w:cs="Times New Roman"/>
          <w:sz w:val="24"/>
          <w:szCs w:val="24"/>
        </w:rPr>
        <w:t xml:space="preserve"> diz respeito ao papel do Brasil na construção dessa bioindústria em desenvolvimento. De que forma é possível aproveitar a atual posição brasileira na produção de biocombustíveis para que haja incorporação de conhecimento tecnológico e o país não seja meramente fornecedor de matéria-prima? </w:t>
      </w:r>
      <w:r w:rsidR="001269A1">
        <w:rPr>
          <w:rFonts w:ascii="Times New Roman" w:hAnsi="Times New Roman" w:cs="Times New Roman"/>
          <w:sz w:val="24"/>
          <w:szCs w:val="24"/>
        </w:rPr>
        <w:t xml:space="preserve">Como poderão se integrar as políticas públicas nessa nova estrutura? Será possível conjugar os objetivos de desenvolvimento agrário, com as metas ambientais e o planejamento energético? </w:t>
      </w:r>
      <w:r w:rsidR="00715F5B">
        <w:rPr>
          <w:rFonts w:ascii="Times New Roman" w:hAnsi="Times New Roman" w:cs="Times New Roman"/>
          <w:sz w:val="24"/>
          <w:szCs w:val="24"/>
        </w:rPr>
        <w:t xml:space="preserve">A apropriação dos benefícios trazidos pelo desenvolvimento dessa nova indústria é um desafio maior que </w:t>
      </w:r>
      <w:r w:rsidR="00DB6682">
        <w:rPr>
          <w:rFonts w:ascii="Times New Roman" w:hAnsi="Times New Roman" w:cs="Times New Roman"/>
          <w:sz w:val="24"/>
          <w:szCs w:val="24"/>
        </w:rPr>
        <w:t>certamente exigirá</w:t>
      </w:r>
      <w:r w:rsidR="00715F5B">
        <w:rPr>
          <w:rFonts w:ascii="Times New Roman" w:hAnsi="Times New Roman" w:cs="Times New Roman"/>
          <w:sz w:val="24"/>
          <w:szCs w:val="24"/>
        </w:rPr>
        <w:t xml:space="preserve"> </w:t>
      </w:r>
      <w:r w:rsidR="00DB6682">
        <w:rPr>
          <w:rFonts w:ascii="Times New Roman" w:hAnsi="Times New Roman" w:cs="Times New Roman"/>
          <w:sz w:val="24"/>
          <w:szCs w:val="24"/>
        </w:rPr>
        <w:t>maior coordenação</w:t>
      </w:r>
      <w:r w:rsidR="00715F5B">
        <w:rPr>
          <w:rFonts w:ascii="Times New Roman" w:hAnsi="Times New Roman" w:cs="Times New Roman"/>
          <w:sz w:val="24"/>
          <w:szCs w:val="24"/>
        </w:rPr>
        <w:t xml:space="preserve"> das políticas setoriais, demandando que elas sejam integradas a uma estratégia nacional de desenvolvimento.</w:t>
      </w:r>
      <w:r w:rsidR="008E1AF9" w:rsidRPr="008E1AF9">
        <w:rPr>
          <w:rFonts w:ascii="Calibri" w:eastAsia="+mn-ea" w:hAnsi="Calibri" w:cs="+mn-cs"/>
          <w:color w:val="000000"/>
          <w:kern w:val="24"/>
          <w:sz w:val="48"/>
          <w:szCs w:val="48"/>
          <w:lang w:val="pt-PT"/>
        </w:rPr>
        <w:t xml:space="preserve"> </w:t>
      </w:r>
    </w:p>
    <w:p w:rsidR="00715F5B" w:rsidRPr="003528F4" w:rsidRDefault="00715F5B" w:rsidP="00715F5B">
      <w:pPr>
        <w:spacing w:line="360" w:lineRule="auto"/>
        <w:ind w:firstLine="708"/>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715F5B" w:rsidRDefault="00715F5B" w:rsidP="00715F5B"/>
    <w:p w:rsidR="000436A2" w:rsidRPr="00715F5B" w:rsidRDefault="000436A2">
      <w:pPr>
        <w:rPr>
          <w:rFonts w:ascii="Times New Roman" w:hAnsi="Times New Roman" w:cs="Times New Roman"/>
          <w:sz w:val="24"/>
          <w:szCs w:val="24"/>
        </w:rPr>
      </w:pPr>
    </w:p>
    <w:p w:rsidR="00715F5B" w:rsidRDefault="00715F5B">
      <w:pPr>
        <w:rPr>
          <w:rFonts w:ascii="Times New Roman" w:eastAsiaTheme="majorEastAsia" w:hAnsi="Times New Roman" w:cstheme="majorBidi"/>
          <w:b/>
          <w:bCs/>
          <w:caps/>
          <w:sz w:val="24"/>
          <w:szCs w:val="28"/>
        </w:rPr>
      </w:pPr>
      <w:bookmarkStart w:id="139" w:name="_Toc330506385"/>
      <w:r>
        <w:br w:type="page"/>
      </w:r>
    </w:p>
    <w:p w:rsidR="000436A2" w:rsidRPr="00CC21CE" w:rsidRDefault="000436A2" w:rsidP="00EF5A51">
      <w:pPr>
        <w:pStyle w:val="Ttulo1"/>
        <w:rPr>
          <w:lang w:val="en-US"/>
        </w:rPr>
      </w:pPr>
      <w:bookmarkStart w:id="140" w:name="_Toc333911381"/>
      <w:r w:rsidRPr="00CC21CE">
        <w:rPr>
          <w:lang w:val="en-US"/>
        </w:rPr>
        <w:lastRenderedPageBreak/>
        <w:t>REFERÊNCIAS</w:t>
      </w:r>
      <w:bookmarkEnd w:id="139"/>
      <w:bookmarkEnd w:id="140"/>
    </w:p>
    <w:p w:rsidR="000436A2" w:rsidRPr="00CC21CE" w:rsidRDefault="000436A2" w:rsidP="000436A2">
      <w:pPr>
        <w:spacing w:after="240"/>
        <w:rPr>
          <w:rFonts w:ascii="Times New Roman" w:hAnsi="Times New Roman" w:cs="Times New Roman"/>
          <w:sz w:val="24"/>
          <w:szCs w:val="24"/>
          <w:lang w:val="en-US"/>
        </w:rPr>
      </w:pPr>
    </w:p>
    <w:p w:rsidR="00CC21CE" w:rsidRDefault="00CC21CE" w:rsidP="000436A2">
      <w:pPr>
        <w:spacing w:after="240"/>
        <w:rPr>
          <w:rFonts w:ascii="Times New Roman" w:hAnsi="Times New Roman" w:cs="Times New Roman"/>
          <w:sz w:val="24"/>
          <w:szCs w:val="24"/>
          <w:lang w:val="en-US"/>
        </w:rPr>
      </w:pPr>
      <w:r w:rsidRPr="00CC21CE">
        <w:rPr>
          <w:rFonts w:ascii="Times New Roman" w:hAnsi="Times New Roman" w:cs="Times New Roman"/>
          <w:sz w:val="24"/>
          <w:szCs w:val="24"/>
          <w:lang w:val="en-US"/>
        </w:rPr>
        <w:t xml:space="preserve">ABERNATHY, W. J. </w:t>
      </w:r>
      <w:r w:rsidRPr="00CC21CE">
        <w:rPr>
          <w:rFonts w:ascii="Times New Roman" w:hAnsi="Times New Roman" w:cs="Times New Roman"/>
          <w:b/>
          <w:sz w:val="24"/>
          <w:szCs w:val="24"/>
          <w:lang w:val="en-US"/>
        </w:rPr>
        <w:t>The Productivity Dilemma</w:t>
      </w:r>
      <w:r w:rsidRPr="00CC21CE">
        <w:rPr>
          <w:rFonts w:ascii="Times New Roman" w:hAnsi="Times New Roman" w:cs="Times New Roman"/>
          <w:sz w:val="24"/>
          <w:szCs w:val="24"/>
          <w:lang w:val="en-US"/>
        </w:rPr>
        <w:t>. Baltimore: The Johns Hopkins University Press, 1978</w:t>
      </w:r>
      <w:r>
        <w:rPr>
          <w:rFonts w:ascii="Times New Roman" w:hAnsi="Times New Roman" w:cs="Times New Roman"/>
          <w:sz w:val="24"/>
          <w:szCs w:val="24"/>
          <w:lang w:val="en-US"/>
        </w:rPr>
        <w:t>.</w:t>
      </w:r>
    </w:p>
    <w:p w:rsidR="000436A2" w:rsidRPr="006F4C91" w:rsidRDefault="000436A2" w:rsidP="000436A2">
      <w:pPr>
        <w:spacing w:after="240"/>
        <w:rPr>
          <w:rFonts w:ascii="Times New Roman" w:hAnsi="Times New Roman" w:cs="Times New Roman"/>
          <w:sz w:val="24"/>
          <w:szCs w:val="24"/>
          <w:lang w:val="en-US"/>
        </w:rPr>
      </w:pPr>
      <w:r w:rsidRPr="00CC21CE">
        <w:rPr>
          <w:rFonts w:ascii="Times New Roman" w:hAnsi="Times New Roman" w:cs="Times New Roman"/>
          <w:sz w:val="24"/>
          <w:szCs w:val="24"/>
        </w:rPr>
        <w:t xml:space="preserve">AIE. </w:t>
      </w:r>
      <w:r>
        <w:rPr>
          <w:rFonts w:ascii="Times New Roman" w:hAnsi="Times New Roman" w:cs="Times New Roman"/>
          <w:sz w:val="24"/>
          <w:szCs w:val="24"/>
        </w:rPr>
        <w:t xml:space="preserve">Agência Internacional de Energia. </w:t>
      </w:r>
      <w:r w:rsidRPr="006F4C91">
        <w:rPr>
          <w:rFonts w:ascii="Times New Roman" w:hAnsi="Times New Roman" w:cs="Times New Roman"/>
          <w:b/>
          <w:sz w:val="24"/>
          <w:szCs w:val="24"/>
          <w:lang w:val="en-US"/>
        </w:rPr>
        <w:t>From 1st to 2nd generation Biofuel Technologies</w:t>
      </w:r>
      <w:r>
        <w:rPr>
          <w:rFonts w:ascii="Times New Roman" w:hAnsi="Times New Roman" w:cs="Times New Roman"/>
          <w:sz w:val="24"/>
          <w:szCs w:val="24"/>
          <w:lang w:val="en-US"/>
        </w:rPr>
        <w:t xml:space="preserve">: An overview of current industry and R,D&amp;D activities. Paris: OCDE/AIE, </w:t>
      </w:r>
      <w:r w:rsidRPr="006F4C91">
        <w:rPr>
          <w:rFonts w:ascii="Times New Roman" w:hAnsi="Times New Roman" w:cs="Times New Roman"/>
          <w:sz w:val="24"/>
          <w:szCs w:val="24"/>
          <w:lang w:val="en-US"/>
        </w:rPr>
        <w:t>2008</w:t>
      </w:r>
    </w:p>
    <w:p w:rsidR="000436A2" w:rsidRPr="006A1FB3" w:rsidRDefault="000436A2" w:rsidP="000436A2">
      <w:pPr>
        <w:spacing w:after="240"/>
        <w:rPr>
          <w:rFonts w:ascii="Times New Roman" w:hAnsi="Times New Roman" w:cs="Times New Roman"/>
          <w:sz w:val="24"/>
          <w:szCs w:val="24"/>
          <w:lang w:val="en-US"/>
        </w:rPr>
      </w:pPr>
      <w:r w:rsidRPr="006F4C91">
        <w:rPr>
          <w:rFonts w:ascii="Times New Roman" w:hAnsi="Times New Roman" w:cs="Times New Roman"/>
          <w:sz w:val="24"/>
          <w:szCs w:val="24"/>
          <w:lang w:val="en-US"/>
        </w:rPr>
        <w:t>_____</w:t>
      </w:r>
      <w:r>
        <w:rPr>
          <w:rFonts w:ascii="Times New Roman" w:hAnsi="Times New Roman" w:cs="Times New Roman"/>
          <w:sz w:val="24"/>
          <w:szCs w:val="24"/>
          <w:lang w:val="en-US"/>
        </w:rPr>
        <w:softHyphen/>
        <w:t>__</w:t>
      </w:r>
      <w:r w:rsidRPr="006F4C91">
        <w:rPr>
          <w:rFonts w:ascii="Times New Roman" w:hAnsi="Times New Roman" w:cs="Times New Roman"/>
          <w:sz w:val="24"/>
          <w:szCs w:val="24"/>
          <w:lang w:val="en-US"/>
        </w:rPr>
        <w:t xml:space="preserve">. </w:t>
      </w:r>
      <w:r w:rsidRPr="006A1FB3">
        <w:rPr>
          <w:rFonts w:ascii="Times New Roman" w:hAnsi="Times New Roman" w:cs="Times New Roman"/>
          <w:b/>
          <w:sz w:val="24"/>
          <w:szCs w:val="24"/>
          <w:lang w:val="en-US"/>
        </w:rPr>
        <w:t>World Energy Outlook 2010</w:t>
      </w:r>
      <w:r>
        <w:rPr>
          <w:rFonts w:ascii="Times New Roman" w:hAnsi="Times New Roman" w:cs="Times New Roman"/>
          <w:sz w:val="24"/>
          <w:szCs w:val="24"/>
          <w:lang w:val="en-US"/>
        </w:rPr>
        <w:t>. Paris: OCDE/AIE, 2010.</w:t>
      </w:r>
    </w:p>
    <w:p w:rsidR="000436A2" w:rsidRDefault="000436A2" w:rsidP="000436A2">
      <w:pPr>
        <w:spacing w:after="240"/>
        <w:rPr>
          <w:rFonts w:ascii="Times New Roman" w:hAnsi="Times New Roman" w:cs="Times New Roman"/>
          <w:sz w:val="24"/>
          <w:szCs w:val="24"/>
          <w:lang w:val="en-US"/>
        </w:rPr>
      </w:pPr>
      <w:r w:rsidRPr="006A1FB3">
        <w:rPr>
          <w:rFonts w:ascii="Times New Roman" w:hAnsi="Times New Roman" w:cs="Times New Roman"/>
          <w:sz w:val="24"/>
          <w:szCs w:val="24"/>
          <w:lang w:val="en-US"/>
        </w:rPr>
        <w:t>_____</w:t>
      </w:r>
      <w:r>
        <w:rPr>
          <w:rFonts w:ascii="Times New Roman" w:hAnsi="Times New Roman" w:cs="Times New Roman"/>
          <w:sz w:val="24"/>
          <w:szCs w:val="24"/>
          <w:lang w:val="en-US"/>
        </w:rPr>
        <w:t>__</w:t>
      </w:r>
      <w:r w:rsidRPr="006A1FB3">
        <w:rPr>
          <w:rFonts w:ascii="Times New Roman" w:hAnsi="Times New Roman" w:cs="Times New Roman"/>
          <w:sz w:val="24"/>
          <w:szCs w:val="24"/>
          <w:lang w:val="en-US"/>
        </w:rPr>
        <w:t xml:space="preserve">. </w:t>
      </w:r>
      <w:r w:rsidRPr="00E00C3C">
        <w:rPr>
          <w:rFonts w:ascii="Times New Roman" w:hAnsi="Times New Roman" w:cs="Times New Roman"/>
          <w:b/>
          <w:sz w:val="24"/>
          <w:szCs w:val="24"/>
          <w:lang w:val="en-US"/>
        </w:rPr>
        <w:t>Clean Energy Progress Report</w:t>
      </w:r>
      <w:r w:rsidRPr="00E00C3C">
        <w:rPr>
          <w:rFonts w:ascii="Times New Roman" w:hAnsi="Times New Roman" w:cs="Times New Roman"/>
          <w:sz w:val="24"/>
          <w:szCs w:val="24"/>
          <w:lang w:val="en-US"/>
        </w:rPr>
        <w:t>. OCDE/AIE, 2011a.</w:t>
      </w:r>
    </w:p>
    <w:p w:rsidR="000436A2" w:rsidRPr="004C6D64" w:rsidRDefault="000436A2" w:rsidP="000436A2">
      <w:pPr>
        <w:spacing w:after="240"/>
        <w:rPr>
          <w:rFonts w:ascii="Times New Roman" w:hAnsi="Times New Roman" w:cs="Times New Roman"/>
          <w:sz w:val="24"/>
          <w:szCs w:val="24"/>
          <w:lang w:val="en-US"/>
        </w:rPr>
      </w:pPr>
      <w:r w:rsidRPr="004273AF">
        <w:rPr>
          <w:rFonts w:ascii="Times New Roman" w:hAnsi="Times New Roman" w:cs="Times New Roman"/>
          <w:sz w:val="24"/>
          <w:szCs w:val="24"/>
          <w:lang w:val="en-US"/>
        </w:rPr>
        <w:t>_____</w:t>
      </w:r>
      <w:r>
        <w:rPr>
          <w:rFonts w:ascii="Times New Roman" w:hAnsi="Times New Roman" w:cs="Times New Roman"/>
          <w:sz w:val="24"/>
          <w:szCs w:val="24"/>
          <w:lang w:val="en-US"/>
        </w:rPr>
        <w:t>__</w:t>
      </w:r>
      <w:r w:rsidRPr="004273AF">
        <w:rPr>
          <w:rFonts w:ascii="Times New Roman" w:hAnsi="Times New Roman" w:cs="Times New Roman"/>
          <w:sz w:val="24"/>
          <w:szCs w:val="24"/>
          <w:lang w:val="en-US"/>
        </w:rPr>
        <w:t xml:space="preserve">. </w:t>
      </w:r>
      <w:r w:rsidRPr="004273AF">
        <w:rPr>
          <w:rFonts w:ascii="Times New Roman" w:hAnsi="Times New Roman" w:cs="Times New Roman"/>
          <w:b/>
          <w:sz w:val="24"/>
          <w:szCs w:val="24"/>
          <w:lang w:val="en-US"/>
        </w:rPr>
        <w:t>Technology Roadmaps: Biofuels for Transport</w:t>
      </w:r>
      <w:r w:rsidRPr="004273AF">
        <w:rPr>
          <w:rFonts w:ascii="Times New Roman" w:hAnsi="Times New Roman" w:cs="Times New Roman"/>
          <w:sz w:val="24"/>
          <w:szCs w:val="24"/>
          <w:lang w:val="en-US"/>
        </w:rPr>
        <w:t xml:space="preserve">. </w:t>
      </w:r>
      <w:r w:rsidRPr="004C6D64">
        <w:rPr>
          <w:rFonts w:ascii="Times New Roman" w:hAnsi="Times New Roman" w:cs="Times New Roman"/>
          <w:sz w:val="24"/>
          <w:szCs w:val="24"/>
          <w:lang w:val="en-US"/>
        </w:rPr>
        <w:t>OCDE/AIE, 2011b.</w:t>
      </w:r>
    </w:p>
    <w:p w:rsidR="000436A2" w:rsidRPr="00E32819" w:rsidRDefault="000436A2" w:rsidP="000436A2">
      <w:pPr>
        <w:spacing w:after="240"/>
        <w:rPr>
          <w:rFonts w:ascii="Times New Roman" w:hAnsi="Times New Roman" w:cs="Times New Roman"/>
          <w:sz w:val="24"/>
          <w:szCs w:val="24"/>
        </w:rPr>
      </w:pPr>
      <w:r w:rsidRPr="00FC57B3">
        <w:rPr>
          <w:rFonts w:ascii="Times New Roman" w:hAnsi="Times New Roman" w:cs="Times New Roman"/>
          <w:sz w:val="24"/>
          <w:szCs w:val="24"/>
          <w:lang w:val="en-US"/>
        </w:rPr>
        <w:t xml:space="preserve">ALMEIDA, E. F.; BOMTEMPO, J. V.; SOUZA E SILVA, C. M. </w:t>
      </w:r>
      <w:r w:rsidRPr="00FC57B3">
        <w:rPr>
          <w:rFonts w:ascii="Times New Roman" w:hAnsi="Times New Roman" w:cs="Times New Roman"/>
          <w:b/>
          <w:sz w:val="24"/>
          <w:szCs w:val="24"/>
          <w:lang w:val="en-US"/>
        </w:rPr>
        <w:t>The Performance of Brazilian Biofuels: An Economic, Environmental and Soci</w:t>
      </w:r>
      <w:r w:rsidRPr="009055B8">
        <w:rPr>
          <w:rFonts w:ascii="Times New Roman" w:hAnsi="Times New Roman" w:cs="Times New Roman"/>
          <w:b/>
          <w:sz w:val="24"/>
          <w:szCs w:val="24"/>
          <w:lang w:val="en-US"/>
        </w:rPr>
        <w:t>al Analysis</w:t>
      </w:r>
      <w:r w:rsidRPr="009055B8">
        <w:rPr>
          <w:rFonts w:ascii="Times New Roman" w:hAnsi="Times New Roman" w:cs="Times New Roman"/>
          <w:sz w:val="24"/>
          <w:szCs w:val="24"/>
          <w:lang w:val="en-US"/>
        </w:rPr>
        <w:t xml:space="preserve">. </w:t>
      </w:r>
      <w:r w:rsidRPr="00E32819">
        <w:rPr>
          <w:rFonts w:ascii="Times New Roman" w:hAnsi="Times New Roman" w:cs="Times New Roman"/>
          <w:sz w:val="24"/>
          <w:szCs w:val="24"/>
        </w:rPr>
        <w:t>OCDE, Joint Transport Research Centre, 2007.</w:t>
      </w:r>
    </w:p>
    <w:p w:rsidR="000436A2" w:rsidRPr="00E00C3C" w:rsidRDefault="000436A2" w:rsidP="000436A2">
      <w:pPr>
        <w:spacing w:after="240"/>
        <w:rPr>
          <w:rFonts w:ascii="Times New Roman" w:hAnsi="Times New Roman" w:cs="Times New Roman"/>
          <w:sz w:val="24"/>
          <w:szCs w:val="24"/>
        </w:rPr>
      </w:pPr>
      <w:r>
        <w:rPr>
          <w:rFonts w:ascii="Times New Roman" w:hAnsi="Times New Roman" w:cs="Times New Roman"/>
          <w:sz w:val="24"/>
          <w:szCs w:val="24"/>
        </w:rPr>
        <w:t xml:space="preserve">ANA. Agência Nacional de Águas; Federação das Indústrias do Estado de São Paulo, União da Indústria da Cana-de-Açúcar; Centro de Tecnologia Canavieira. </w:t>
      </w:r>
      <w:r w:rsidRPr="0042220F">
        <w:rPr>
          <w:rFonts w:ascii="Times New Roman" w:hAnsi="Times New Roman" w:cs="Times New Roman"/>
          <w:b/>
          <w:sz w:val="24"/>
          <w:szCs w:val="24"/>
        </w:rPr>
        <w:t>Manual de conservação e reuso de água na agroindústria energética</w:t>
      </w:r>
      <w:r>
        <w:rPr>
          <w:rFonts w:ascii="Times New Roman" w:hAnsi="Times New Roman" w:cs="Times New Roman"/>
          <w:sz w:val="24"/>
          <w:szCs w:val="24"/>
        </w:rPr>
        <w:t>. Brasília, 2009.</w:t>
      </w:r>
    </w:p>
    <w:p w:rsidR="000436A2" w:rsidRDefault="000436A2" w:rsidP="000436A2">
      <w:pPr>
        <w:spacing w:after="240"/>
        <w:rPr>
          <w:rFonts w:ascii="Times New Roman" w:hAnsi="Times New Roman" w:cs="Times New Roman"/>
          <w:sz w:val="24"/>
          <w:szCs w:val="24"/>
        </w:rPr>
      </w:pPr>
      <w:r>
        <w:rPr>
          <w:rFonts w:ascii="Times New Roman" w:hAnsi="Times New Roman" w:cs="Times New Roman"/>
          <w:sz w:val="24"/>
          <w:szCs w:val="24"/>
        </w:rPr>
        <w:t xml:space="preserve">ANEEL. Agência Nacional de Energia Elétrica. </w:t>
      </w:r>
      <w:r w:rsidRPr="00610DF0">
        <w:rPr>
          <w:rFonts w:ascii="Times New Roman" w:hAnsi="Times New Roman" w:cs="Times New Roman"/>
          <w:b/>
          <w:sz w:val="24"/>
          <w:szCs w:val="24"/>
        </w:rPr>
        <w:t>Atlas de energia elétrica do Brasil</w:t>
      </w:r>
      <w:r>
        <w:rPr>
          <w:rFonts w:ascii="Times New Roman" w:hAnsi="Times New Roman" w:cs="Times New Roman"/>
          <w:sz w:val="24"/>
          <w:szCs w:val="24"/>
        </w:rPr>
        <w:t>, 2ª Ed., Brasília, 2005.</w:t>
      </w:r>
    </w:p>
    <w:p w:rsidR="000436A2" w:rsidRDefault="000436A2" w:rsidP="000436A2">
      <w:pPr>
        <w:spacing w:after="240"/>
        <w:rPr>
          <w:rFonts w:ascii="Times New Roman" w:hAnsi="Times New Roman" w:cs="Times New Roman"/>
          <w:sz w:val="24"/>
          <w:szCs w:val="24"/>
        </w:rPr>
      </w:pPr>
      <w:r>
        <w:rPr>
          <w:rFonts w:ascii="Times New Roman" w:hAnsi="Times New Roman" w:cs="Times New Roman"/>
          <w:sz w:val="24"/>
          <w:szCs w:val="24"/>
        </w:rPr>
        <w:t xml:space="preserve">ANFAVEA. Associação Nacional dos Fabricantes de Veículos Automotores. </w:t>
      </w:r>
      <w:r w:rsidRPr="00E95C06">
        <w:rPr>
          <w:rFonts w:ascii="Times New Roman" w:hAnsi="Times New Roman" w:cs="Times New Roman"/>
          <w:b/>
          <w:sz w:val="24"/>
          <w:szCs w:val="24"/>
        </w:rPr>
        <w:t>Carta da Anfavea</w:t>
      </w:r>
      <w:r w:rsidR="00C57B08">
        <w:rPr>
          <w:rFonts w:ascii="Times New Roman" w:hAnsi="Times New Roman" w:cs="Times New Roman"/>
          <w:sz w:val="24"/>
          <w:szCs w:val="24"/>
        </w:rPr>
        <w:t xml:space="preserve"> n.</w:t>
      </w:r>
      <w:r>
        <w:rPr>
          <w:rFonts w:ascii="Times New Roman" w:hAnsi="Times New Roman" w:cs="Times New Roman"/>
          <w:sz w:val="24"/>
          <w:szCs w:val="24"/>
        </w:rPr>
        <w:t xml:space="preserve"> 311. Publicação mensal. Abr., 2012.</w:t>
      </w:r>
    </w:p>
    <w:p w:rsidR="00AB1B61" w:rsidRDefault="000436A2" w:rsidP="000436A2">
      <w:pPr>
        <w:spacing w:after="240"/>
        <w:rPr>
          <w:rFonts w:ascii="Times New Roman" w:hAnsi="Times New Roman" w:cs="Times New Roman"/>
          <w:sz w:val="24"/>
          <w:szCs w:val="24"/>
        </w:rPr>
      </w:pPr>
      <w:r>
        <w:rPr>
          <w:rFonts w:ascii="Times New Roman" w:hAnsi="Times New Roman" w:cs="Times New Roman"/>
          <w:sz w:val="24"/>
          <w:szCs w:val="24"/>
        </w:rPr>
        <w:t xml:space="preserve">ANP. Agência Nacional do Petróleo, Gás e Biocombustíveis. </w:t>
      </w:r>
      <w:r w:rsidR="00AB1B61">
        <w:rPr>
          <w:rFonts w:ascii="Times New Roman" w:hAnsi="Times New Roman" w:cs="Times New Roman"/>
          <w:sz w:val="24"/>
          <w:szCs w:val="24"/>
        </w:rPr>
        <w:t>Resoluções ANP. Disponíve</w:t>
      </w:r>
      <w:r w:rsidR="006A77E7">
        <w:rPr>
          <w:rFonts w:ascii="Times New Roman" w:hAnsi="Times New Roman" w:cs="Times New Roman"/>
          <w:sz w:val="24"/>
          <w:szCs w:val="24"/>
        </w:rPr>
        <w:t>is</w:t>
      </w:r>
      <w:r w:rsidR="00AB1B61">
        <w:rPr>
          <w:rFonts w:ascii="Times New Roman" w:hAnsi="Times New Roman" w:cs="Times New Roman"/>
          <w:sz w:val="24"/>
          <w:szCs w:val="24"/>
        </w:rPr>
        <w:t xml:space="preserve"> em: </w:t>
      </w:r>
      <w:hyperlink r:id="rId32" w:history="1">
        <w:r w:rsidR="00AB1B61" w:rsidRPr="007A78E7">
          <w:rPr>
            <w:rStyle w:val="Hyperlink"/>
            <w:rFonts w:ascii="Times New Roman" w:hAnsi="Times New Roman" w:cs="Times New Roman"/>
            <w:sz w:val="24"/>
            <w:szCs w:val="24"/>
          </w:rPr>
          <w:t>www.anp.gov.br</w:t>
        </w:r>
      </w:hyperlink>
      <w:r w:rsidR="00AB1B61">
        <w:rPr>
          <w:rFonts w:ascii="Times New Roman" w:hAnsi="Times New Roman" w:cs="Times New Roman"/>
          <w:sz w:val="24"/>
          <w:szCs w:val="24"/>
        </w:rPr>
        <w:t>. Acesso em 30 jul</w:t>
      </w:r>
      <w:r w:rsidR="006A77E7">
        <w:rPr>
          <w:rFonts w:ascii="Times New Roman" w:hAnsi="Times New Roman" w:cs="Times New Roman"/>
          <w:sz w:val="24"/>
          <w:szCs w:val="24"/>
        </w:rPr>
        <w:t>.</w:t>
      </w:r>
      <w:r w:rsidR="00AB1B61">
        <w:rPr>
          <w:rFonts w:ascii="Times New Roman" w:hAnsi="Times New Roman" w:cs="Times New Roman"/>
          <w:sz w:val="24"/>
          <w:szCs w:val="24"/>
        </w:rPr>
        <w:t xml:space="preserve"> 2012. </w:t>
      </w:r>
    </w:p>
    <w:p w:rsidR="000436A2" w:rsidRDefault="00AB1B61" w:rsidP="000436A2">
      <w:pPr>
        <w:spacing w:after="240"/>
        <w:rPr>
          <w:rFonts w:ascii="Times New Roman" w:hAnsi="Times New Roman" w:cs="Times New Roman"/>
          <w:sz w:val="24"/>
          <w:szCs w:val="24"/>
        </w:rPr>
      </w:pPr>
      <w:r>
        <w:rPr>
          <w:rFonts w:ascii="Times New Roman" w:hAnsi="Times New Roman" w:cs="Times New Roman"/>
          <w:sz w:val="24"/>
          <w:szCs w:val="24"/>
        </w:rPr>
        <w:t xml:space="preserve">_______. </w:t>
      </w:r>
      <w:r w:rsidR="000436A2" w:rsidRPr="006F0E4A">
        <w:rPr>
          <w:rFonts w:ascii="Times New Roman" w:hAnsi="Times New Roman" w:cs="Times New Roman"/>
          <w:b/>
          <w:sz w:val="24"/>
          <w:szCs w:val="24"/>
        </w:rPr>
        <w:t>Anuário Estatístico Brasileiro do Petróleo, Gás Natural e Biocombustíveis</w:t>
      </w:r>
      <w:r w:rsidR="000436A2">
        <w:rPr>
          <w:rFonts w:ascii="Times New Roman" w:hAnsi="Times New Roman" w:cs="Times New Roman"/>
          <w:sz w:val="24"/>
          <w:szCs w:val="24"/>
        </w:rPr>
        <w:t xml:space="preserve">. Rio de Janeiro, 2011a. </w:t>
      </w:r>
    </w:p>
    <w:p w:rsidR="000436A2" w:rsidRDefault="000436A2" w:rsidP="000436A2">
      <w:pPr>
        <w:rPr>
          <w:rFonts w:ascii="Times New Roman" w:hAnsi="Times New Roman" w:cs="Times New Roman"/>
          <w:sz w:val="24"/>
          <w:szCs w:val="24"/>
        </w:rPr>
      </w:pPr>
      <w:r>
        <w:rPr>
          <w:rFonts w:ascii="Times New Roman" w:hAnsi="Times New Roman" w:cs="Times New Roman"/>
          <w:sz w:val="24"/>
          <w:szCs w:val="24"/>
        </w:rPr>
        <w:t>_______</w:t>
      </w:r>
      <w:r w:rsidRPr="00D465C8">
        <w:rPr>
          <w:rFonts w:ascii="Times New Roman" w:hAnsi="Times New Roman" w:cs="Times New Roman"/>
          <w:sz w:val="24"/>
          <w:szCs w:val="24"/>
        </w:rPr>
        <w:t xml:space="preserve">. </w:t>
      </w:r>
      <w:r w:rsidRPr="00E34DF0">
        <w:rPr>
          <w:rFonts w:ascii="Times New Roman" w:hAnsi="Times New Roman" w:cs="Times New Roman"/>
          <w:b/>
          <w:sz w:val="24"/>
          <w:szCs w:val="24"/>
        </w:rPr>
        <w:t>Ações Prioritárias da ANP para o Biênio 2011/2012</w:t>
      </w:r>
      <w:r w:rsidRPr="00D465C8">
        <w:rPr>
          <w:rFonts w:ascii="Times New Roman" w:hAnsi="Times New Roman" w:cs="Times New Roman"/>
          <w:sz w:val="24"/>
          <w:szCs w:val="24"/>
        </w:rPr>
        <w:t xml:space="preserve">: Objetivos </w:t>
      </w:r>
      <w:r>
        <w:rPr>
          <w:rFonts w:ascii="Times New Roman" w:hAnsi="Times New Roman" w:cs="Times New Roman"/>
          <w:sz w:val="24"/>
          <w:szCs w:val="24"/>
        </w:rPr>
        <w:t>e Iniciativas, 2011b.</w:t>
      </w:r>
    </w:p>
    <w:p w:rsidR="000436A2" w:rsidRDefault="000436A2" w:rsidP="000436A2">
      <w:pPr>
        <w:rPr>
          <w:rFonts w:ascii="Times New Roman" w:hAnsi="Times New Roman" w:cs="Times New Roman"/>
          <w:sz w:val="24"/>
          <w:szCs w:val="24"/>
        </w:rPr>
      </w:pPr>
    </w:p>
    <w:p w:rsidR="000436A2" w:rsidRDefault="000436A2" w:rsidP="000436A2">
      <w:pPr>
        <w:rPr>
          <w:rFonts w:ascii="Times New Roman" w:hAnsi="Times New Roman" w:cs="Times New Roman"/>
          <w:sz w:val="24"/>
          <w:szCs w:val="24"/>
        </w:rPr>
      </w:pPr>
      <w:r>
        <w:rPr>
          <w:rFonts w:ascii="Times New Roman" w:hAnsi="Times New Roman" w:cs="Times New Roman"/>
          <w:sz w:val="24"/>
          <w:szCs w:val="24"/>
        </w:rPr>
        <w:t xml:space="preserve">_______. </w:t>
      </w:r>
      <w:r w:rsidRPr="009A2B3F">
        <w:rPr>
          <w:rFonts w:ascii="Times New Roman" w:hAnsi="Times New Roman" w:cs="Times New Roman"/>
          <w:b/>
          <w:sz w:val="24"/>
          <w:szCs w:val="24"/>
        </w:rPr>
        <w:t>Boletim Mensal de Biodiesel</w:t>
      </w:r>
      <w:r>
        <w:rPr>
          <w:rFonts w:ascii="Times New Roman" w:hAnsi="Times New Roman" w:cs="Times New Roman"/>
          <w:b/>
          <w:sz w:val="24"/>
          <w:szCs w:val="24"/>
        </w:rPr>
        <w:t xml:space="preserve"> - Fevereiro</w:t>
      </w:r>
      <w:r>
        <w:rPr>
          <w:rFonts w:ascii="Times New Roman" w:hAnsi="Times New Roman" w:cs="Times New Roman"/>
          <w:sz w:val="24"/>
          <w:szCs w:val="24"/>
        </w:rPr>
        <w:t>. Rio de Janeiro, 2012.</w:t>
      </w:r>
    </w:p>
    <w:p w:rsidR="000436A2" w:rsidRDefault="000436A2" w:rsidP="000436A2">
      <w:pPr>
        <w:spacing w:after="240"/>
        <w:rPr>
          <w:rFonts w:ascii="Times New Roman" w:hAnsi="Times New Roman" w:cs="Times New Roman"/>
          <w:sz w:val="24"/>
          <w:szCs w:val="24"/>
        </w:rPr>
      </w:pPr>
    </w:p>
    <w:p w:rsidR="000436A2" w:rsidRPr="00543FCB" w:rsidRDefault="000436A2" w:rsidP="000436A2">
      <w:pPr>
        <w:spacing w:after="240"/>
        <w:rPr>
          <w:rFonts w:ascii="Times New Roman" w:hAnsi="Times New Roman" w:cs="Times New Roman"/>
          <w:sz w:val="24"/>
          <w:szCs w:val="24"/>
          <w:lang w:val="en-US"/>
        </w:rPr>
      </w:pPr>
      <w:r w:rsidRPr="00995B01">
        <w:rPr>
          <w:rFonts w:ascii="Times New Roman" w:hAnsi="Times New Roman" w:cs="Times New Roman"/>
          <w:sz w:val="24"/>
          <w:szCs w:val="24"/>
        </w:rPr>
        <w:t xml:space="preserve">ARB. Air Resources Board. </w:t>
      </w:r>
      <w:r>
        <w:rPr>
          <w:rFonts w:ascii="Times New Roman" w:hAnsi="Times New Roman" w:cs="Times New Roman"/>
          <w:sz w:val="24"/>
          <w:szCs w:val="24"/>
          <w:lang w:val="en-US"/>
        </w:rPr>
        <w:t xml:space="preserve">California Environmental Protection Agency. </w:t>
      </w:r>
      <w:r w:rsidRPr="00543FCB">
        <w:rPr>
          <w:rFonts w:ascii="Times New Roman" w:hAnsi="Times New Roman" w:cs="Times New Roman"/>
          <w:b/>
          <w:sz w:val="24"/>
          <w:szCs w:val="24"/>
          <w:lang w:val="en-US"/>
        </w:rPr>
        <w:t>Low Carbon Fuel Standard 2011 Program Review Report</w:t>
      </w:r>
      <w:r w:rsidRPr="00543FCB">
        <w:rPr>
          <w:rFonts w:ascii="Times New Roman" w:hAnsi="Times New Roman" w:cs="Times New Roman"/>
          <w:sz w:val="24"/>
          <w:szCs w:val="24"/>
          <w:lang w:val="en-US"/>
        </w:rPr>
        <w:t xml:space="preserve">, 2011. </w:t>
      </w:r>
      <w:r w:rsidRPr="00995B01">
        <w:rPr>
          <w:rFonts w:ascii="Times New Roman" w:hAnsi="Times New Roman" w:cs="Times New Roman"/>
          <w:sz w:val="24"/>
          <w:szCs w:val="24"/>
        </w:rPr>
        <w:t xml:space="preserve">Disponível em: </w:t>
      </w:r>
      <w:hyperlink r:id="rId33" w:history="1">
        <w:r w:rsidRPr="00995B01">
          <w:rPr>
            <w:rStyle w:val="Hyperlink"/>
            <w:rFonts w:ascii="Times New Roman" w:hAnsi="Times New Roman" w:cs="Times New Roman"/>
            <w:sz w:val="24"/>
            <w:szCs w:val="24"/>
          </w:rPr>
          <w:t>www.arb.ca.gov/fuels/lcfs/lcfs.htm</w:t>
        </w:r>
      </w:hyperlink>
      <w:r w:rsidRPr="00995B01">
        <w:rPr>
          <w:rFonts w:ascii="Times New Roman" w:hAnsi="Times New Roman" w:cs="Times New Roman"/>
          <w:sz w:val="24"/>
          <w:szCs w:val="24"/>
        </w:rPr>
        <w:t xml:space="preserve">. </w:t>
      </w:r>
      <w:r w:rsidRPr="00543FCB">
        <w:rPr>
          <w:rFonts w:ascii="Times New Roman" w:hAnsi="Times New Roman" w:cs="Times New Roman"/>
          <w:sz w:val="24"/>
          <w:szCs w:val="24"/>
          <w:lang w:val="en-US"/>
        </w:rPr>
        <w:t>Acesso em: 30 ju</w:t>
      </w:r>
      <w:r>
        <w:rPr>
          <w:rFonts w:ascii="Times New Roman" w:hAnsi="Times New Roman" w:cs="Times New Roman"/>
          <w:sz w:val="24"/>
          <w:szCs w:val="24"/>
          <w:lang w:val="en-US"/>
        </w:rPr>
        <w:t>l</w:t>
      </w:r>
      <w:r w:rsidRPr="00543FCB">
        <w:rPr>
          <w:rFonts w:ascii="Times New Roman" w:hAnsi="Times New Roman" w:cs="Times New Roman"/>
          <w:sz w:val="24"/>
          <w:szCs w:val="24"/>
          <w:lang w:val="en-US"/>
        </w:rPr>
        <w:t>. 2012.</w:t>
      </w:r>
    </w:p>
    <w:p w:rsidR="000436A2" w:rsidRPr="00995B01" w:rsidRDefault="000436A2" w:rsidP="000436A2">
      <w:pPr>
        <w:rPr>
          <w:rFonts w:ascii="Times New Roman" w:hAnsi="Times New Roman" w:cs="Times New Roman"/>
          <w:sz w:val="24"/>
          <w:szCs w:val="24"/>
          <w:lang w:val="en-US"/>
        </w:rPr>
      </w:pPr>
      <w:r w:rsidRPr="00FD701C">
        <w:rPr>
          <w:rFonts w:ascii="Times New Roman" w:hAnsi="Times New Roman" w:cs="Times New Roman"/>
          <w:sz w:val="24"/>
          <w:szCs w:val="24"/>
          <w:lang w:val="en-US"/>
        </w:rPr>
        <w:t xml:space="preserve">BAIER, S. et al. </w:t>
      </w:r>
      <w:r w:rsidRPr="00CF5FF4">
        <w:rPr>
          <w:rFonts w:ascii="Times New Roman" w:hAnsi="Times New Roman" w:cs="Times New Roman"/>
          <w:b/>
          <w:sz w:val="24"/>
          <w:szCs w:val="24"/>
          <w:lang w:val="en-US"/>
        </w:rPr>
        <w:t>Biofuels impact on crop and food prices</w:t>
      </w:r>
      <w:r w:rsidRPr="00CF5FF4">
        <w:rPr>
          <w:rFonts w:ascii="Times New Roman" w:hAnsi="Times New Roman" w:cs="Times New Roman"/>
          <w:sz w:val="24"/>
          <w:szCs w:val="24"/>
          <w:lang w:val="en-US"/>
        </w:rPr>
        <w:t>: using an interactive spr</w:t>
      </w:r>
      <w:r>
        <w:rPr>
          <w:rFonts w:ascii="Times New Roman" w:hAnsi="Times New Roman" w:cs="Times New Roman"/>
          <w:sz w:val="24"/>
          <w:szCs w:val="24"/>
          <w:lang w:val="en-US"/>
        </w:rPr>
        <w:t>eadsheet. International Finance Discussion Papers, nº</w:t>
      </w:r>
      <w:r w:rsidRPr="00CF5FF4">
        <w:rPr>
          <w:rFonts w:ascii="Times New Roman" w:hAnsi="Times New Roman" w:cs="Times New Roman"/>
          <w:sz w:val="24"/>
          <w:szCs w:val="24"/>
          <w:lang w:val="en-US"/>
        </w:rPr>
        <w:t xml:space="preserve"> 967. </w:t>
      </w:r>
      <w:r w:rsidRPr="00995B01">
        <w:rPr>
          <w:rFonts w:ascii="Times New Roman" w:hAnsi="Times New Roman" w:cs="Times New Roman"/>
          <w:sz w:val="24"/>
          <w:szCs w:val="24"/>
          <w:lang w:val="en-US"/>
        </w:rPr>
        <w:t>Board of Governors of the Federal Reserve System, Mar. 2009.</w:t>
      </w:r>
    </w:p>
    <w:p w:rsidR="000436A2" w:rsidRPr="00995B01" w:rsidRDefault="000436A2" w:rsidP="000436A2">
      <w:pPr>
        <w:rPr>
          <w:rFonts w:ascii="Times New Roman" w:hAnsi="Times New Roman" w:cs="Times New Roman"/>
          <w:sz w:val="24"/>
          <w:szCs w:val="24"/>
          <w:lang w:val="en-US"/>
        </w:rPr>
      </w:pPr>
    </w:p>
    <w:p w:rsidR="000436A2" w:rsidRDefault="000436A2" w:rsidP="000436A2">
      <w:pPr>
        <w:rPr>
          <w:rFonts w:ascii="Times New Roman" w:hAnsi="Times New Roman" w:cs="Times New Roman"/>
          <w:sz w:val="24"/>
          <w:szCs w:val="24"/>
        </w:rPr>
      </w:pPr>
      <w:r>
        <w:rPr>
          <w:rFonts w:ascii="Times New Roman" w:hAnsi="Times New Roman" w:cs="Times New Roman"/>
          <w:sz w:val="24"/>
          <w:szCs w:val="24"/>
        </w:rPr>
        <w:t xml:space="preserve">BAJAY, S. V. </w:t>
      </w:r>
      <w:r w:rsidRPr="0073171D">
        <w:rPr>
          <w:rFonts w:ascii="Times New Roman" w:hAnsi="Times New Roman" w:cs="Times New Roman"/>
          <w:sz w:val="24"/>
          <w:szCs w:val="24"/>
        </w:rPr>
        <w:t>Planejamento energético: necess</w:t>
      </w:r>
      <w:r>
        <w:rPr>
          <w:rFonts w:ascii="Times New Roman" w:hAnsi="Times New Roman" w:cs="Times New Roman"/>
          <w:sz w:val="24"/>
          <w:szCs w:val="24"/>
        </w:rPr>
        <w:t xml:space="preserve">idade, objetivo e metodologia. </w:t>
      </w:r>
      <w:r w:rsidRPr="0073171D">
        <w:rPr>
          <w:rFonts w:ascii="Times New Roman" w:hAnsi="Times New Roman" w:cs="Times New Roman"/>
          <w:b/>
          <w:sz w:val="24"/>
          <w:szCs w:val="24"/>
        </w:rPr>
        <w:t>Revista Brasileira de Energia</w:t>
      </w:r>
      <w:r w:rsidRPr="0073171D">
        <w:rPr>
          <w:rFonts w:ascii="Times New Roman" w:hAnsi="Times New Roman" w:cs="Times New Roman"/>
          <w:sz w:val="24"/>
          <w:szCs w:val="24"/>
        </w:rPr>
        <w:t xml:space="preserve">, </w:t>
      </w:r>
      <w:r>
        <w:rPr>
          <w:rFonts w:ascii="Times New Roman" w:hAnsi="Times New Roman" w:cs="Times New Roman"/>
          <w:sz w:val="24"/>
          <w:szCs w:val="24"/>
        </w:rPr>
        <w:t>v. 1, n. 1</w:t>
      </w:r>
      <w:r w:rsidRPr="0073171D">
        <w:rPr>
          <w:rFonts w:ascii="Times New Roman" w:hAnsi="Times New Roman" w:cs="Times New Roman"/>
          <w:sz w:val="24"/>
          <w:szCs w:val="24"/>
        </w:rPr>
        <w:t xml:space="preserve">, </w:t>
      </w:r>
      <w:r>
        <w:rPr>
          <w:rFonts w:ascii="Times New Roman" w:hAnsi="Times New Roman" w:cs="Times New Roman"/>
          <w:sz w:val="24"/>
          <w:szCs w:val="24"/>
        </w:rPr>
        <w:t>p.</w:t>
      </w:r>
      <w:r w:rsidRPr="0073171D">
        <w:rPr>
          <w:rFonts w:ascii="Times New Roman" w:hAnsi="Times New Roman" w:cs="Times New Roman"/>
          <w:sz w:val="24"/>
          <w:szCs w:val="24"/>
        </w:rPr>
        <w:t xml:space="preserve"> 45-53</w:t>
      </w:r>
      <w:r>
        <w:rPr>
          <w:rFonts w:ascii="Times New Roman" w:hAnsi="Times New Roman" w:cs="Times New Roman"/>
          <w:sz w:val="24"/>
          <w:szCs w:val="24"/>
        </w:rPr>
        <w:t xml:space="preserve">, </w:t>
      </w:r>
      <w:r w:rsidRPr="0073171D">
        <w:rPr>
          <w:rFonts w:ascii="Times New Roman" w:hAnsi="Times New Roman" w:cs="Times New Roman"/>
          <w:sz w:val="24"/>
          <w:szCs w:val="24"/>
        </w:rPr>
        <w:t>1989.</w:t>
      </w:r>
    </w:p>
    <w:p w:rsidR="000436A2" w:rsidRDefault="000436A2" w:rsidP="000436A2">
      <w:pPr>
        <w:rPr>
          <w:rFonts w:ascii="Times New Roman" w:hAnsi="Times New Roman" w:cs="Times New Roman"/>
          <w:sz w:val="24"/>
          <w:szCs w:val="24"/>
        </w:rPr>
      </w:pPr>
    </w:p>
    <w:p w:rsidR="000436A2" w:rsidRDefault="000436A2" w:rsidP="000436A2">
      <w:pPr>
        <w:rPr>
          <w:rFonts w:ascii="Times New Roman" w:hAnsi="Times New Roman" w:cs="Times New Roman"/>
          <w:sz w:val="24"/>
          <w:szCs w:val="24"/>
        </w:rPr>
      </w:pPr>
      <w:r w:rsidRPr="00D465C8">
        <w:rPr>
          <w:rFonts w:ascii="Times New Roman" w:hAnsi="Times New Roman" w:cs="Times New Roman"/>
          <w:sz w:val="24"/>
          <w:szCs w:val="24"/>
        </w:rPr>
        <w:lastRenderedPageBreak/>
        <w:t xml:space="preserve">BAJAY, S. V.; BADANHAN, L. F. </w:t>
      </w:r>
      <w:r w:rsidRPr="00867755">
        <w:rPr>
          <w:rFonts w:ascii="Times New Roman" w:hAnsi="Times New Roman" w:cs="Times New Roman"/>
          <w:b/>
          <w:sz w:val="24"/>
          <w:szCs w:val="24"/>
        </w:rPr>
        <w:t>Energia no Brasil: os próximos dez anos</w:t>
      </w:r>
      <w:r w:rsidRPr="00D465C8">
        <w:rPr>
          <w:rFonts w:ascii="Times New Roman" w:hAnsi="Times New Roman" w:cs="Times New Roman"/>
          <w:sz w:val="24"/>
          <w:szCs w:val="24"/>
        </w:rPr>
        <w:t>. Ministério das Minas e Energi</w:t>
      </w:r>
      <w:r>
        <w:rPr>
          <w:rFonts w:ascii="Times New Roman" w:hAnsi="Times New Roman" w:cs="Times New Roman"/>
          <w:sz w:val="24"/>
          <w:szCs w:val="24"/>
        </w:rPr>
        <w:t>a – MME SEN / MME, 2004, 17 p.</w:t>
      </w:r>
    </w:p>
    <w:p w:rsidR="000436A2" w:rsidRPr="00B92F9F" w:rsidRDefault="000436A2" w:rsidP="000436A2">
      <w:pPr>
        <w:rPr>
          <w:rFonts w:ascii="Times New Roman" w:hAnsi="Times New Roman" w:cs="Times New Roman"/>
          <w:sz w:val="24"/>
          <w:szCs w:val="24"/>
        </w:rPr>
      </w:pPr>
    </w:p>
    <w:p w:rsidR="000436A2" w:rsidRDefault="000436A2" w:rsidP="000436A2">
      <w:pPr>
        <w:rPr>
          <w:rFonts w:ascii="Times New Roman" w:hAnsi="Times New Roman" w:cs="Times New Roman"/>
          <w:sz w:val="24"/>
          <w:szCs w:val="24"/>
        </w:rPr>
      </w:pPr>
      <w:r>
        <w:rPr>
          <w:rFonts w:ascii="Times New Roman" w:hAnsi="Times New Roman" w:cs="Times New Roman"/>
          <w:sz w:val="24"/>
          <w:szCs w:val="24"/>
        </w:rPr>
        <w:t>BARBIERI, R. F</w:t>
      </w:r>
      <w:r w:rsidRPr="00B92F9F">
        <w:rPr>
          <w:rFonts w:ascii="Times New Roman" w:hAnsi="Times New Roman" w:cs="Times New Roman"/>
          <w:sz w:val="24"/>
          <w:szCs w:val="24"/>
        </w:rPr>
        <w:t xml:space="preserve">. </w:t>
      </w:r>
      <w:r w:rsidRPr="00B92F9F">
        <w:rPr>
          <w:rFonts w:ascii="Times New Roman" w:hAnsi="Times New Roman" w:cs="Times New Roman"/>
          <w:b/>
          <w:sz w:val="24"/>
          <w:szCs w:val="24"/>
        </w:rPr>
        <w:t xml:space="preserve">Biocombustíveis, controvérsia agrícola na economia do petróleo: </w:t>
      </w:r>
      <w:r w:rsidRPr="00B92F9F">
        <w:rPr>
          <w:rFonts w:ascii="Times New Roman" w:hAnsi="Times New Roman" w:cs="Times New Roman"/>
          <w:sz w:val="24"/>
          <w:szCs w:val="24"/>
        </w:rPr>
        <w:t>o caso do etanol no Cerrado. 2009. Tese (Doutorado em Ciência Ambiental) - Ciência Ambiental, Univer</w:t>
      </w:r>
      <w:r>
        <w:rPr>
          <w:rFonts w:ascii="Times New Roman" w:hAnsi="Times New Roman" w:cs="Times New Roman"/>
          <w:sz w:val="24"/>
          <w:szCs w:val="24"/>
        </w:rPr>
        <w:t>sidade de São Paulo, São Paulo.</w:t>
      </w:r>
    </w:p>
    <w:p w:rsidR="000436A2" w:rsidRDefault="000436A2" w:rsidP="000436A2">
      <w:pPr>
        <w:rPr>
          <w:rFonts w:ascii="Times New Roman" w:hAnsi="Times New Roman" w:cs="Times New Roman"/>
          <w:sz w:val="24"/>
          <w:szCs w:val="24"/>
          <w:lang w:val="pt-PT"/>
        </w:rPr>
      </w:pPr>
    </w:p>
    <w:p w:rsidR="000436A2" w:rsidRDefault="000436A2" w:rsidP="000436A2">
      <w:pPr>
        <w:rPr>
          <w:rFonts w:ascii="Times New Roman" w:hAnsi="Times New Roman" w:cs="Times New Roman"/>
          <w:sz w:val="24"/>
          <w:szCs w:val="24"/>
        </w:rPr>
      </w:pPr>
      <w:r w:rsidRPr="0054243B">
        <w:rPr>
          <w:rFonts w:ascii="Times New Roman" w:hAnsi="Times New Roman" w:cs="Times New Roman"/>
          <w:sz w:val="24"/>
          <w:szCs w:val="24"/>
          <w:lang w:val="en-US"/>
        </w:rPr>
        <w:t>BENNETT, S. J.; PEARSON, P. From petrochemical complexes to biore</w:t>
      </w:r>
      <w:r w:rsidRPr="0054243B">
        <w:rPr>
          <w:rFonts w:ascii="Times New Roman" w:hAnsi="Times New Roman" w:cs="Times New Roman"/>
          <w:sz w:val="24"/>
          <w:szCs w:val="24"/>
        </w:rPr>
        <w:t>ﬁ</w:t>
      </w:r>
      <w:r w:rsidRPr="0054243B">
        <w:rPr>
          <w:rFonts w:ascii="Times New Roman" w:hAnsi="Times New Roman" w:cs="Times New Roman"/>
          <w:sz w:val="24"/>
          <w:szCs w:val="24"/>
          <w:lang w:val="en-US"/>
        </w:rPr>
        <w:t xml:space="preserve">neries? The past and prospective co-evolution of liquid fuels and chemicals production in the UK. </w:t>
      </w:r>
      <w:r w:rsidRPr="0054243B">
        <w:rPr>
          <w:rFonts w:ascii="Times New Roman" w:hAnsi="Times New Roman" w:cs="Times New Roman"/>
          <w:b/>
          <w:sz w:val="24"/>
          <w:szCs w:val="24"/>
        </w:rPr>
        <w:t>Chemical Engineering Research and Design</w:t>
      </w:r>
      <w:r>
        <w:rPr>
          <w:rFonts w:ascii="Times New Roman" w:hAnsi="Times New Roman" w:cs="Times New Roman"/>
          <w:sz w:val="24"/>
          <w:szCs w:val="24"/>
        </w:rPr>
        <w:t>, v. 87, p. 1120-1139, 2009</w:t>
      </w:r>
      <w:r w:rsidRPr="0054243B">
        <w:rPr>
          <w:rFonts w:ascii="Times New Roman" w:hAnsi="Times New Roman" w:cs="Times New Roman"/>
          <w:sz w:val="24"/>
          <w:szCs w:val="24"/>
        </w:rPr>
        <w:t>.</w:t>
      </w:r>
    </w:p>
    <w:p w:rsidR="000436A2" w:rsidRPr="00E81D80" w:rsidRDefault="000436A2" w:rsidP="000436A2">
      <w:pPr>
        <w:rPr>
          <w:rFonts w:ascii="Times New Roman" w:hAnsi="Times New Roman" w:cs="Times New Roman"/>
          <w:sz w:val="24"/>
          <w:szCs w:val="24"/>
          <w:lang w:val="pt-PT"/>
        </w:rPr>
      </w:pPr>
    </w:p>
    <w:p w:rsidR="000436A2" w:rsidRDefault="000436A2" w:rsidP="000436A2">
      <w:pPr>
        <w:spacing w:after="240"/>
        <w:rPr>
          <w:rFonts w:ascii="Times New Roman" w:hAnsi="Times New Roman" w:cs="Times New Roman"/>
          <w:sz w:val="24"/>
          <w:szCs w:val="24"/>
        </w:rPr>
      </w:pPr>
      <w:r>
        <w:rPr>
          <w:rFonts w:ascii="Times New Roman" w:hAnsi="Times New Roman" w:cs="Times New Roman"/>
          <w:sz w:val="24"/>
          <w:szCs w:val="24"/>
        </w:rPr>
        <w:t xml:space="preserve">BENETTI, M. D. </w:t>
      </w:r>
      <w:r w:rsidRPr="00745C97">
        <w:rPr>
          <w:rFonts w:ascii="Times New Roman" w:hAnsi="Times New Roman" w:cs="Times New Roman"/>
          <w:sz w:val="24"/>
          <w:szCs w:val="24"/>
        </w:rPr>
        <w:t xml:space="preserve">Como vai a indústria do etanol no Brasil? </w:t>
      </w:r>
      <w:r w:rsidRPr="00745C97">
        <w:rPr>
          <w:rFonts w:ascii="Times New Roman" w:hAnsi="Times New Roman" w:cs="Times New Roman"/>
          <w:b/>
          <w:sz w:val="24"/>
          <w:szCs w:val="24"/>
        </w:rPr>
        <w:t>Indicadores Econômicos FEE</w:t>
      </w:r>
      <w:r w:rsidRPr="00745C97">
        <w:rPr>
          <w:rFonts w:ascii="Times New Roman" w:hAnsi="Times New Roman" w:cs="Times New Roman"/>
          <w:sz w:val="24"/>
          <w:szCs w:val="24"/>
        </w:rPr>
        <w:t>, Fundação de Economia e Estatística, Secretaria do Planejamento e Gestão, Governo do Estado do Rio Grande do Sul, v. 37, n. 1, 2009.</w:t>
      </w:r>
    </w:p>
    <w:p w:rsidR="0065782F" w:rsidRDefault="0065782F" w:rsidP="000436A2">
      <w:pPr>
        <w:spacing w:after="240"/>
        <w:rPr>
          <w:rFonts w:ascii="Times New Roman" w:hAnsi="Times New Roman" w:cs="Times New Roman"/>
          <w:sz w:val="24"/>
          <w:szCs w:val="24"/>
        </w:rPr>
      </w:pPr>
      <w:r>
        <w:rPr>
          <w:rFonts w:ascii="Times New Roman" w:hAnsi="Times New Roman" w:cs="Times New Roman"/>
          <w:sz w:val="24"/>
          <w:szCs w:val="24"/>
        </w:rPr>
        <w:t xml:space="preserve">BICALHO, R. Premissas para uma política energética no Brasil. Análise de Conjuntura das Indústrias de Petróleo e Gás. </w:t>
      </w:r>
      <w:r w:rsidRPr="00E8141B">
        <w:rPr>
          <w:rFonts w:ascii="Times New Roman" w:hAnsi="Times New Roman" w:cs="Times New Roman"/>
          <w:b/>
          <w:sz w:val="24"/>
          <w:szCs w:val="24"/>
        </w:rPr>
        <w:t>Boletim Infopetro</w:t>
      </w:r>
      <w:r>
        <w:rPr>
          <w:rFonts w:ascii="Times New Roman" w:hAnsi="Times New Roman" w:cs="Times New Roman"/>
          <w:sz w:val="24"/>
          <w:szCs w:val="24"/>
        </w:rPr>
        <w:t xml:space="preserve"> (online), Ano 9, n. 3, p. 6-9, Mai./Jun. 2008. Disponível em: </w:t>
      </w:r>
      <w:hyperlink r:id="rId34" w:history="1">
        <w:r w:rsidRPr="007A78E7">
          <w:rPr>
            <w:rStyle w:val="Hyperlink"/>
            <w:rFonts w:ascii="Times New Roman" w:hAnsi="Times New Roman" w:cs="Times New Roman"/>
            <w:sz w:val="24"/>
            <w:szCs w:val="24"/>
          </w:rPr>
          <w:t>http://infopetro.files.wordpress.com/2010/02/2008_maijun_petrogas.pdf</w:t>
        </w:r>
      </w:hyperlink>
      <w:r>
        <w:rPr>
          <w:rFonts w:ascii="Times New Roman" w:hAnsi="Times New Roman" w:cs="Times New Roman"/>
          <w:sz w:val="24"/>
          <w:szCs w:val="24"/>
        </w:rPr>
        <w:t>. Acesso em 20 jul. 2012.</w:t>
      </w:r>
    </w:p>
    <w:p w:rsidR="000436A2" w:rsidRPr="007D0E36" w:rsidRDefault="000436A2" w:rsidP="000436A2">
      <w:pPr>
        <w:spacing w:after="240"/>
        <w:rPr>
          <w:rFonts w:ascii="Times New Roman" w:hAnsi="Times New Roman" w:cs="Times New Roman"/>
          <w:sz w:val="24"/>
          <w:szCs w:val="24"/>
        </w:rPr>
      </w:pPr>
      <w:r>
        <w:rPr>
          <w:rFonts w:ascii="Times New Roman" w:hAnsi="Times New Roman" w:cs="Times New Roman"/>
          <w:sz w:val="24"/>
          <w:szCs w:val="24"/>
        </w:rPr>
        <w:t>BOMTEMPO, J. V</w:t>
      </w:r>
      <w:r w:rsidRPr="007D0E36">
        <w:rPr>
          <w:rFonts w:ascii="Times New Roman" w:hAnsi="Times New Roman" w:cs="Times New Roman"/>
          <w:sz w:val="24"/>
          <w:szCs w:val="24"/>
        </w:rPr>
        <w:t xml:space="preserve">. </w:t>
      </w:r>
      <w:r w:rsidRPr="001704A9">
        <w:rPr>
          <w:rFonts w:ascii="Times New Roman" w:hAnsi="Times New Roman" w:cs="Times New Roman"/>
          <w:b/>
          <w:sz w:val="24"/>
          <w:szCs w:val="24"/>
        </w:rPr>
        <w:t>Documento Setorial</w:t>
      </w:r>
      <w:r>
        <w:rPr>
          <w:rFonts w:ascii="Times New Roman" w:hAnsi="Times New Roman" w:cs="Times New Roman"/>
          <w:sz w:val="24"/>
          <w:szCs w:val="24"/>
        </w:rPr>
        <w:t>:</w:t>
      </w:r>
      <w:r w:rsidRPr="00D43C2E">
        <w:rPr>
          <w:rFonts w:ascii="Times New Roman" w:hAnsi="Times New Roman" w:cs="Times New Roman"/>
          <w:sz w:val="24"/>
          <w:szCs w:val="24"/>
        </w:rPr>
        <w:t xml:space="preserve"> </w:t>
      </w:r>
      <w:r>
        <w:rPr>
          <w:rFonts w:ascii="Times New Roman" w:hAnsi="Times New Roman" w:cs="Times New Roman"/>
          <w:sz w:val="24"/>
          <w:szCs w:val="24"/>
        </w:rPr>
        <w:t xml:space="preserve">Etanol/Biomassa/Biodiesel. </w:t>
      </w:r>
      <w:r w:rsidRPr="007D0E36">
        <w:rPr>
          <w:rFonts w:ascii="Times New Roman" w:hAnsi="Times New Roman" w:cs="Times New Roman"/>
          <w:sz w:val="24"/>
          <w:szCs w:val="24"/>
        </w:rPr>
        <w:t xml:space="preserve">Projeto </w:t>
      </w:r>
      <w:r w:rsidRPr="00D43C2E">
        <w:rPr>
          <w:rFonts w:ascii="Times New Roman" w:hAnsi="Times New Roman" w:cs="Times New Roman"/>
          <w:sz w:val="24"/>
          <w:szCs w:val="24"/>
        </w:rPr>
        <w:t>Perspectivas do Investimento no Brasil.</w:t>
      </w:r>
      <w:r w:rsidRPr="007D0E36">
        <w:rPr>
          <w:rFonts w:ascii="Times New Roman" w:hAnsi="Times New Roman" w:cs="Times New Roman"/>
          <w:sz w:val="24"/>
          <w:szCs w:val="24"/>
        </w:rPr>
        <w:t xml:space="preserve"> </w:t>
      </w:r>
      <w:r>
        <w:rPr>
          <w:rFonts w:ascii="Times New Roman" w:hAnsi="Times New Roman" w:cs="Times New Roman"/>
          <w:sz w:val="24"/>
          <w:szCs w:val="24"/>
        </w:rPr>
        <w:t>Rio de Janeiro: UFRJ, 2009.</w:t>
      </w:r>
    </w:p>
    <w:p w:rsidR="000436A2" w:rsidRPr="005474DC" w:rsidRDefault="000436A2" w:rsidP="000436A2">
      <w:pPr>
        <w:spacing w:after="240"/>
        <w:rPr>
          <w:rFonts w:ascii="Times New Roman" w:hAnsi="Times New Roman" w:cs="Times New Roman"/>
          <w:sz w:val="24"/>
          <w:szCs w:val="24"/>
          <w:lang w:val="en-US"/>
        </w:rPr>
      </w:pPr>
      <w:r>
        <w:rPr>
          <w:rFonts w:ascii="Times New Roman" w:hAnsi="Times New Roman" w:cs="Times New Roman"/>
          <w:sz w:val="24"/>
          <w:szCs w:val="24"/>
        </w:rPr>
        <w:t xml:space="preserve">_________. </w:t>
      </w:r>
      <w:r w:rsidRPr="00E8141B">
        <w:rPr>
          <w:rFonts w:ascii="Times New Roman" w:hAnsi="Times New Roman" w:cs="Times New Roman"/>
          <w:sz w:val="24"/>
          <w:szCs w:val="24"/>
        </w:rPr>
        <w:t>Série: O futuro dos biocombustíveis</w:t>
      </w:r>
      <w:r>
        <w:rPr>
          <w:rFonts w:ascii="Times New Roman" w:hAnsi="Times New Roman" w:cs="Times New Roman"/>
          <w:sz w:val="24"/>
          <w:szCs w:val="24"/>
        </w:rPr>
        <w:t xml:space="preserve">. </w:t>
      </w:r>
      <w:r w:rsidRPr="00E8141B">
        <w:rPr>
          <w:rFonts w:ascii="Times New Roman" w:hAnsi="Times New Roman" w:cs="Times New Roman"/>
          <w:b/>
          <w:sz w:val="24"/>
          <w:szCs w:val="24"/>
        </w:rPr>
        <w:t>Boletim Infopetro</w:t>
      </w:r>
      <w:r w:rsidRPr="007D0E36">
        <w:rPr>
          <w:rFonts w:ascii="Times New Roman" w:hAnsi="Times New Roman" w:cs="Times New Roman"/>
          <w:sz w:val="24"/>
          <w:szCs w:val="24"/>
        </w:rPr>
        <w:t xml:space="preserve"> (online), 2012. </w:t>
      </w:r>
      <w:r w:rsidRPr="00995B01">
        <w:rPr>
          <w:rFonts w:ascii="Times New Roman" w:hAnsi="Times New Roman" w:cs="Times New Roman"/>
          <w:sz w:val="24"/>
          <w:szCs w:val="24"/>
          <w:lang w:val="en-US"/>
        </w:rPr>
        <w:t>Disponível em</w:t>
      </w:r>
      <w:r w:rsidR="0065782F" w:rsidRPr="00995B01">
        <w:rPr>
          <w:rFonts w:ascii="Times New Roman" w:hAnsi="Times New Roman" w:cs="Times New Roman"/>
          <w:sz w:val="24"/>
          <w:szCs w:val="24"/>
          <w:lang w:val="en-US"/>
        </w:rPr>
        <w:t>:</w:t>
      </w:r>
      <w:r w:rsidRPr="00995B01">
        <w:rPr>
          <w:rFonts w:ascii="Times New Roman" w:hAnsi="Times New Roman" w:cs="Times New Roman"/>
          <w:sz w:val="24"/>
          <w:szCs w:val="24"/>
          <w:lang w:val="en-US"/>
        </w:rPr>
        <w:t xml:space="preserve"> </w:t>
      </w:r>
      <w:hyperlink r:id="rId35" w:history="1">
        <w:r w:rsidRPr="00995B01">
          <w:rPr>
            <w:rStyle w:val="Hyperlink"/>
            <w:rFonts w:ascii="Times New Roman" w:hAnsi="Times New Roman"/>
            <w:sz w:val="24"/>
            <w:szCs w:val="24"/>
            <w:lang w:val="en-US"/>
          </w:rPr>
          <w:t>infopetro.wordpress.com</w:t>
        </w:r>
      </w:hyperlink>
      <w:r w:rsidRPr="00995B01">
        <w:rPr>
          <w:rFonts w:ascii="Times New Roman" w:hAnsi="Times New Roman" w:cs="Times New Roman"/>
          <w:sz w:val="24"/>
          <w:szCs w:val="24"/>
          <w:lang w:val="en-US"/>
        </w:rPr>
        <w:t xml:space="preserve">. </w:t>
      </w:r>
      <w:r w:rsidR="0065782F">
        <w:rPr>
          <w:rFonts w:ascii="Times New Roman" w:hAnsi="Times New Roman" w:cs="Times New Roman"/>
          <w:sz w:val="24"/>
          <w:szCs w:val="24"/>
          <w:lang w:val="en-US"/>
        </w:rPr>
        <w:t xml:space="preserve">Acesso em 08 mai. </w:t>
      </w:r>
      <w:r>
        <w:rPr>
          <w:rFonts w:ascii="Times New Roman" w:hAnsi="Times New Roman" w:cs="Times New Roman"/>
          <w:sz w:val="24"/>
          <w:szCs w:val="24"/>
          <w:lang w:val="en-US"/>
        </w:rPr>
        <w:t>2012.</w:t>
      </w:r>
    </w:p>
    <w:p w:rsidR="000436A2" w:rsidRDefault="000436A2" w:rsidP="000436A2">
      <w:pPr>
        <w:spacing w:after="240"/>
        <w:rPr>
          <w:rFonts w:ascii="Times New Roman" w:hAnsi="Times New Roman" w:cs="Times New Roman"/>
          <w:sz w:val="24"/>
          <w:szCs w:val="24"/>
        </w:rPr>
      </w:pPr>
      <w:r w:rsidRPr="00745C97">
        <w:rPr>
          <w:rFonts w:ascii="Times New Roman" w:hAnsi="Times New Roman" w:cs="Times New Roman"/>
          <w:sz w:val="24"/>
          <w:szCs w:val="24"/>
          <w:lang w:val="en-US"/>
        </w:rPr>
        <w:t xml:space="preserve">BOMTEMPO, J. V.; VIEGAS, L. </w:t>
      </w:r>
      <w:r w:rsidRPr="00745C97">
        <w:rPr>
          <w:rFonts w:ascii="Times New Roman" w:hAnsi="Times New Roman" w:cs="Times New Roman"/>
          <w:b/>
          <w:sz w:val="24"/>
          <w:szCs w:val="24"/>
          <w:lang w:val="en-US"/>
        </w:rPr>
        <w:t>Biofuel technological dynamics and the innovation in the Brazilian ethanol industry</w:t>
      </w:r>
      <w:r w:rsidRPr="00745C97">
        <w:rPr>
          <w:rFonts w:ascii="Times New Roman" w:hAnsi="Times New Roman" w:cs="Times New Roman"/>
          <w:sz w:val="24"/>
          <w:szCs w:val="24"/>
          <w:lang w:val="en-US"/>
        </w:rPr>
        <w:t xml:space="preserve">. </w:t>
      </w:r>
      <w:r w:rsidRPr="00C77AD0">
        <w:rPr>
          <w:rFonts w:ascii="Times New Roman" w:hAnsi="Times New Roman" w:cs="Times New Roman"/>
          <w:sz w:val="24"/>
          <w:szCs w:val="24"/>
        </w:rPr>
        <w:t>XXXIII Internat</w:t>
      </w:r>
      <w:r w:rsidRPr="00745C97">
        <w:rPr>
          <w:rFonts w:ascii="Times New Roman" w:hAnsi="Times New Roman" w:cs="Times New Roman"/>
          <w:sz w:val="24"/>
          <w:szCs w:val="24"/>
        </w:rPr>
        <w:t>ional Association for Energy Economics Conference, 2010.</w:t>
      </w:r>
    </w:p>
    <w:p w:rsidR="000436A2" w:rsidRDefault="000436A2" w:rsidP="000436A2">
      <w:pPr>
        <w:rPr>
          <w:rFonts w:ascii="Times New Roman" w:hAnsi="Times New Roman" w:cs="Times New Roman"/>
          <w:sz w:val="24"/>
          <w:szCs w:val="24"/>
        </w:rPr>
      </w:pPr>
      <w:r>
        <w:rPr>
          <w:rFonts w:ascii="Times New Roman" w:hAnsi="Times New Roman" w:cs="Times New Roman"/>
          <w:sz w:val="24"/>
          <w:szCs w:val="24"/>
        </w:rPr>
        <w:t xml:space="preserve">BRASIL. Lei nº 9.478, de 6 de agosto de 1997. </w:t>
      </w:r>
      <w:r w:rsidRPr="00EF43FA">
        <w:rPr>
          <w:rFonts w:ascii="Times New Roman" w:hAnsi="Times New Roman" w:cs="Times New Roman"/>
          <w:sz w:val="24"/>
          <w:szCs w:val="24"/>
        </w:rPr>
        <w:t>Dispõe sobre</w:t>
      </w:r>
      <w:r>
        <w:rPr>
          <w:rFonts w:ascii="Times New Roman" w:hAnsi="Times New Roman" w:cs="Times New Roman"/>
          <w:sz w:val="24"/>
          <w:szCs w:val="24"/>
        </w:rPr>
        <w:t xml:space="preserve"> a política energética nacional</w:t>
      </w:r>
      <w:r w:rsidRPr="00EF43FA">
        <w:rPr>
          <w:rFonts w:ascii="Times New Roman" w:hAnsi="Times New Roman" w:cs="Times New Roman"/>
          <w:sz w:val="24"/>
          <w:szCs w:val="24"/>
        </w:rPr>
        <w:t>.</w:t>
      </w:r>
      <w:r>
        <w:rPr>
          <w:rFonts w:ascii="Times New Roman" w:hAnsi="Times New Roman" w:cs="Times New Roman"/>
          <w:sz w:val="24"/>
          <w:szCs w:val="24"/>
        </w:rPr>
        <w:t xml:space="preserve"> </w:t>
      </w:r>
      <w:r w:rsidRPr="00EF43FA">
        <w:rPr>
          <w:rFonts w:ascii="Times New Roman" w:hAnsi="Times New Roman" w:cs="Times New Roman"/>
          <w:b/>
          <w:sz w:val="24"/>
          <w:szCs w:val="24"/>
        </w:rPr>
        <w:t>Diário Oficial [da] República Federativa do Brasil</w:t>
      </w:r>
      <w:r>
        <w:rPr>
          <w:rFonts w:ascii="Times New Roman" w:hAnsi="Times New Roman" w:cs="Times New Roman"/>
          <w:sz w:val="24"/>
          <w:szCs w:val="24"/>
        </w:rPr>
        <w:t xml:space="preserve">, Brasília, DF, 7 ago. 1997. Disponível em: </w:t>
      </w:r>
      <w:r w:rsidRPr="00EF43FA">
        <w:t xml:space="preserve"> </w:t>
      </w:r>
      <w:hyperlink r:id="rId36" w:history="1">
        <w:r w:rsidRPr="001B4EAF">
          <w:rPr>
            <w:rStyle w:val="Hyperlink"/>
            <w:rFonts w:ascii="Times New Roman" w:hAnsi="Times New Roman"/>
            <w:sz w:val="24"/>
            <w:szCs w:val="24"/>
          </w:rPr>
          <w:t>http://www.planalto.gov.br/ccivil_03/leis/L9478.htm</w:t>
        </w:r>
      </w:hyperlink>
      <w:r>
        <w:rPr>
          <w:rFonts w:ascii="Times New Roman" w:hAnsi="Times New Roman" w:cs="Times New Roman"/>
          <w:sz w:val="24"/>
          <w:szCs w:val="24"/>
        </w:rPr>
        <w:t>. Acesso em: 09 jun. 2012.</w:t>
      </w:r>
    </w:p>
    <w:p w:rsidR="000436A2" w:rsidRDefault="000436A2" w:rsidP="000436A2">
      <w:pPr>
        <w:rPr>
          <w:rFonts w:ascii="Times New Roman" w:hAnsi="Times New Roman" w:cs="Times New Roman"/>
          <w:sz w:val="24"/>
          <w:szCs w:val="24"/>
        </w:rPr>
      </w:pPr>
    </w:p>
    <w:p w:rsidR="000436A2" w:rsidRDefault="000436A2" w:rsidP="000436A2">
      <w:pPr>
        <w:rPr>
          <w:rFonts w:ascii="Times New Roman" w:hAnsi="Times New Roman" w:cs="Times New Roman"/>
          <w:sz w:val="24"/>
          <w:szCs w:val="24"/>
        </w:rPr>
      </w:pPr>
      <w:r>
        <w:rPr>
          <w:rFonts w:ascii="Times New Roman" w:hAnsi="Times New Roman" w:cs="Times New Roman"/>
          <w:sz w:val="24"/>
          <w:szCs w:val="24"/>
        </w:rPr>
        <w:t>________. Lei nº 12.187, de 29 de dezembro de 2009. I</w:t>
      </w:r>
      <w:r w:rsidRPr="00DE075A">
        <w:rPr>
          <w:rFonts w:ascii="Times New Roman" w:hAnsi="Times New Roman" w:cs="Times New Roman"/>
          <w:sz w:val="24"/>
          <w:szCs w:val="24"/>
        </w:rPr>
        <w:t>nstitui a Política Nacion</w:t>
      </w:r>
      <w:r>
        <w:rPr>
          <w:rFonts w:ascii="Times New Roman" w:hAnsi="Times New Roman" w:cs="Times New Roman"/>
          <w:sz w:val="24"/>
          <w:szCs w:val="24"/>
        </w:rPr>
        <w:t>al sobre Mudança do Clima</w:t>
      </w:r>
      <w:r w:rsidRPr="00DE075A">
        <w:rPr>
          <w:rFonts w:ascii="Times New Roman" w:hAnsi="Times New Roman" w:cs="Times New Roman"/>
          <w:sz w:val="24"/>
          <w:szCs w:val="24"/>
        </w:rPr>
        <w:t xml:space="preserve"> e dá outras providências.</w:t>
      </w:r>
      <w:r>
        <w:rPr>
          <w:rFonts w:ascii="Times New Roman" w:hAnsi="Times New Roman" w:cs="Times New Roman"/>
          <w:sz w:val="24"/>
          <w:szCs w:val="24"/>
        </w:rPr>
        <w:t xml:space="preserve"> </w:t>
      </w:r>
      <w:r w:rsidRPr="00EF43FA">
        <w:rPr>
          <w:rFonts w:ascii="Times New Roman" w:hAnsi="Times New Roman" w:cs="Times New Roman"/>
          <w:b/>
          <w:sz w:val="24"/>
          <w:szCs w:val="24"/>
        </w:rPr>
        <w:t>Diário Oficial [da] República Federativa do Brasil</w:t>
      </w:r>
      <w:r>
        <w:rPr>
          <w:rFonts w:ascii="Times New Roman" w:hAnsi="Times New Roman" w:cs="Times New Roman"/>
          <w:sz w:val="24"/>
          <w:szCs w:val="24"/>
        </w:rPr>
        <w:t xml:space="preserve">, Brasília, DF, 30 dez. 2009. Disponível em: </w:t>
      </w:r>
      <w:hyperlink r:id="rId37" w:history="1">
        <w:r w:rsidRPr="00DE075A">
          <w:rPr>
            <w:rStyle w:val="Hyperlink"/>
            <w:rFonts w:ascii="Times New Roman" w:hAnsi="Times New Roman"/>
            <w:sz w:val="24"/>
            <w:szCs w:val="24"/>
          </w:rPr>
          <w:t>http://www.planalto.gov.br/ccivil_03/_ato2007-2010/2009/lei/l12187.htm</w:t>
        </w:r>
      </w:hyperlink>
      <w:r w:rsidRPr="00DE075A">
        <w:rPr>
          <w:rFonts w:ascii="Times New Roman" w:hAnsi="Times New Roman" w:cs="Times New Roman"/>
          <w:sz w:val="24"/>
          <w:szCs w:val="24"/>
        </w:rPr>
        <w:t>.  Acesso</w:t>
      </w:r>
      <w:r>
        <w:rPr>
          <w:rFonts w:ascii="Times New Roman" w:hAnsi="Times New Roman" w:cs="Times New Roman"/>
          <w:sz w:val="24"/>
          <w:szCs w:val="24"/>
        </w:rPr>
        <w:t xml:space="preserve"> em: 09 jun. 2012.</w:t>
      </w:r>
    </w:p>
    <w:p w:rsidR="000436A2" w:rsidRPr="0080104E" w:rsidRDefault="000436A2" w:rsidP="000436A2">
      <w:pPr>
        <w:rPr>
          <w:rFonts w:ascii="Times New Roman" w:hAnsi="Times New Roman" w:cs="Times New Roman"/>
          <w:sz w:val="24"/>
          <w:szCs w:val="24"/>
        </w:rPr>
      </w:pPr>
    </w:p>
    <w:p w:rsidR="000436A2" w:rsidRPr="00C25399" w:rsidRDefault="000436A2" w:rsidP="000436A2">
      <w:pPr>
        <w:rPr>
          <w:rFonts w:ascii="Times New Roman" w:hAnsi="Times New Roman" w:cs="Times New Roman"/>
          <w:sz w:val="24"/>
          <w:szCs w:val="24"/>
        </w:rPr>
      </w:pPr>
      <w:r>
        <w:rPr>
          <w:rFonts w:ascii="Times New Roman" w:hAnsi="Times New Roman" w:cs="Times New Roman"/>
          <w:sz w:val="24"/>
          <w:szCs w:val="24"/>
        </w:rPr>
        <w:t>________</w:t>
      </w:r>
      <w:r w:rsidRPr="0080104E">
        <w:rPr>
          <w:rFonts w:ascii="Times New Roman" w:hAnsi="Times New Roman" w:cs="Times New Roman"/>
          <w:sz w:val="24"/>
          <w:szCs w:val="24"/>
        </w:rPr>
        <w:t xml:space="preserve">. Lei nº 12.490, de 16 de setembro de 2011. Altera a Lei nº 9.478, entre outras. </w:t>
      </w:r>
      <w:r w:rsidRPr="0080104E">
        <w:rPr>
          <w:rFonts w:ascii="Times New Roman" w:hAnsi="Times New Roman" w:cs="Times New Roman"/>
          <w:b/>
          <w:sz w:val="24"/>
          <w:szCs w:val="24"/>
        </w:rPr>
        <w:t>Diário Oficial [da] República Federativa do Brasil</w:t>
      </w:r>
      <w:r w:rsidRPr="0080104E">
        <w:rPr>
          <w:rFonts w:ascii="Times New Roman" w:hAnsi="Times New Roman" w:cs="Times New Roman"/>
          <w:sz w:val="24"/>
          <w:szCs w:val="24"/>
        </w:rPr>
        <w:t xml:space="preserve">, Brasília, DF, 19 set. 2011. Disponível em: </w:t>
      </w:r>
      <w:hyperlink r:id="rId38" w:history="1">
        <w:r w:rsidRPr="0080104E">
          <w:rPr>
            <w:rStyle w:val="Hyperlink"/>
            <w:rFonts w:ascii="Times New Roman" w:hAnsi="Times New Roman"/>
            <w:sz w:val="24"/>
            <w:szCs w:val="24"/>
          </w:rPr>
          <w:t>http://www.planalto.gov.br/ccivil_03/_Ato2011-2014/2011/Lei/L12490.htm</w:t>
        </w:r>
      </w:hyperlink>
      <w:r w:rsidRPr="0080104E">
        <w:rPr>
          <w:rFonts w:ascii="Times New Roman" w:hAnsi="Times New Roman" w:cs="Times New Roman"/>
          <w:sz w:val="24"/>
          <w:szCs w:val="24"/>
        </w:rPr>
        <w:t xml:space="preserve">.  </w:t>
      </w:r>
      <w:r w:rsidRPr="00C25399">
        <w:rPr>
          <w:rFonts w:ascii="Times New Roman" w:hAnsi="Times New Roman" w:cs="Times New Roman"/>
          <w:sz w:val="24"/>
          <w:szCs w:val="24"/>
        </w:rPr>
        <w:t>Acesso em: 09 jun. 2012.</w:t>
      </w:r>
    </w:p>
    <w:p w:rsidR="000436A2" w:rsidRDefault="000436A2" w:rsidP="000436A2">
      <w:pPr>
        <w:rPr>
          <w:rFonts w:ascii="Times New Roman" w:hAnsi="Times New Roman" w:cs="Times New Roman"/>
          <w:sz w:val="24"/>
          <w:szCs w:val="24"/>
          <w:lang w:val="pt-PT"/>
        </w:rPr>
      </w:pPr>
    </w:p>
    <w:p w:rsidR="000436A2" w:rsidRDefault="000436A2" w:rsidP="000436A2">
      <w:pPr>
        <w:rPr>
          <w:rFonts w:ascii="Times New Roman" w:hAnsi="Times New Roman" w:cs="Times New Roman"/>
          <w:sz w:val="24"/>
          <w:szCs w:val="24"/>
          <w:lang w:val="pt-PT"/>
        </w:rPr>
      </w:pPr>
      <w:r>
        <w:rPr>
          <w:rFonts w:ascii="Times New Roman" w:hAnsi="Times New Roman" w:cs="Times New Roman"/>
          <w:sz w:val="24"/>
          <w:szCs w:val="24"/>
          <w:lang w:val="pt-PT"/>
        </w:rPr>
        <w:t xml:space="preserve">________. Ministério da Agricultura, Pecuária e Abastecimento. </w:t>
      </w:r>
      <w:r w:rsidRPr="00B068F7">
        <w:rPr>
          <w:rFonts w:ascii="Times New Roman" w:hAnsi="Times New Roman" w:cs="Times New Roman"/>
          <w:b/>
          <w:sz w:val="24"/>
          <w:szCs w:val="24"/>
          <w:lang w:val="pt-PT"/>
        </w:rPr>
        <w:t>Plano Nacional de Agroenergia 2006-2011</w:t>
      </w:r>
      <w:r>
        <w:rPr>
          <w:rFonts w:ascii="Times New Roman" w:hAnsi="Times New Roman" w:cs="Times New Roman"/>
          <w:sz w:val="24"/>
          <w:szCs w:val="24"/>
          <w:lang w:val="pt-PT"/>
        </w:rPr>
        <w:t>. Brasília: Embrapa Informação Tecnológica, 2006.</w:t>
      </w:r>
    </w:p>
    <w:p w:rsidR="000436A2" w:rsidRDefault="000436A2" w:rsidP="000436A2">
      <w:pPr>
        <w:rPr>
          <w:rFonts w:ascii="Times New Roman" w:hAnsi="Times New Roman" w:cs="Times New Roman"/>
          <w:sz w:val="24"/>
          <w:szCs w:val="24"/>
          <w:lang w:val="pt-PT"/>
        </w:rPr>
      </w:pPr>
    </w:p>
    <w:p w:rsidR="000436A2" w:rsidRDefault="000436A2" w:rsidP="000436A2">
      <w:pPr>
        <w:rPr>
          <w:rFonts w:ascii="Times New Roman" w:hAnsi="Times New Roman" w:cs="Times New Roman"/>
          <w:sz w:val="24"/>
          <w:szCs w:val="24"/>
          <w:lang w:val="pt-PT"/>
        </w:rPr>
      </w:pPr>
      <w:r>
        <w:rPr>
          <w:rFonts w:ascii="Times New Roman" w:hAnsi="Times New Roman" w:cs="Times New Roman"/>
          <w:sz w:val="24"/>
          <w:szCs w:val="24"/>
          <w:lang w:val="pt-PT"/>
        </w:rPr>
        <w:t>________</w:t>
      </w:r>
      <w:r w:rsidRPr="0048319A">
        <w:rPr>
          <w:rFonts w:ascii="Times New Roman" w:hAnsi="Times New Roman" w:cs="Times New Roman"/>
          <w:sz w:val="24"/>
          <w:szCs w:val="24"/>
          <w:lang w:val="pt-PT"/>
        </w:rPr>
        <w:t>.</w:t>
      </w:r>
      <w:r>
        <w:rPr>
          <w:rFonts w:ascii="Times New Roman" w:hAnsi="Times New Roman" w:cs="Times New Roman"/>
          <w:sz w:val="24"/>
          <w:szCs w:val="24"/>
          <w:lang w:val="pt-PT"/>
        </w:rPr>
        <w:t xml:space="preserve"> Ministério de Minas e Energia.</w:t>
      </w:r>
      <w:r w:rsidRPr="0048319A">
        <w:rPr>
          <w:rFonts w:ascii="Times New Roman" w:hAnsi="Times New Roman" w:cs="Times New Roman"/>
          <w:sz w:val="24"/>
          <w:szCs w:val="24"/>
          <w:lang w:val="pt-PT"/>
        </w:rPr>
        <w:t xml:space="preserve"> </w:t>
      </w:r>
      <w:r w:rsidRPr="0048319A">
        <w:rPr>
          <w:rFonts w:ascii="Times New Roman" w:hAnsi="Times New Roman" w:cs="Times New Roman"/>
          <w:b/>
          <w:sz w:val="24"/>
          <w:szCs w:val="24"/>
          <w:lang w:val="pt-PT"/>
        </w:rPr>
        <w:t>Plano Nacional de Energia 2030</w:t>
      </w:r>
      <w:r w:rsidRPr="0048319A">
        <w:rPr>
          <w:rFonts w:ascii="Times New Roman" w:hAnsi="Times New Roman" w:cs="Times New Roman"/>
          <w:sz w:val="24"/>
          <w:szCs w:val="24"/>
          <w:lang w:val="pt-PT"/>
        </w:rPr>
        <w:t xml:space="preserve"> </w:t>
      </w:r>
      <w:r>
        <w:rPr>
          <w:rFonts w:ascii="Times New Roman" w:hAnsi="Times New Roman" w:cs="Times New Roman"/>
          <w:sz w:val="24"/>
          <w:szCs w:val="24"/>
          <w:lang w:val="pt-PT"/>
        </w:rPr>
        <w:t>/ Ministério de Minas e Energia; colaboração Empresa de Pesquisa Energética. Brasília: MME</w:t>
      </w:r>
      <w:r w:rsidRPr="0048319A">
        <w:rPr>
          <w:rFonts w:ascii="Times New Roman" w:hAnsi="Times New Roman" w:cs="Times New Roman"/>
          <w:sz w:val="24"/>
          <w:szCs w:val="24"/>
          <w:lang w:val="pt-PT"/>
        </w:rPr>
        <w:t>: EPE, 2007.</w:t>
      </w:r>
    </w:p>
    <w:p w:rsidR="000436A2" w:rsidRDefault="000436A2" w:rsidP="000436A2">
      <w:pPr>
        <w:rPr>
          <w:rFonts w:ascii="Times New Roman" w:hAnsi="Times New Roman" w:cs="Times New Roman"/>
          <w:sz w:val="24"/>
          <w:szCs w:val="24"/>
          <w:lang w:val="pt-PT"/>
        </w:rPr>
      </w:pPr>
    </w:p>
    <w:p w:rsidR="000436A2" w:rsidRDefault="000436A2" w:rsidP="000436A2">
      <w:pPr>
        <w:rPr>
          <w:rFonts w:ascii="Times New Roman" w:hAnsi="Times New Roman" w:cs="Times New Roman"/>
          <w:sz w:val="24"/>
          <w:szCs w:val="24"/>
          <w:lang w:val="pt-PT"/>
        </w:rPr>
      </w:pPr>
      <w:r>
        <w:rPr>
          <w:rFonts w:ascii="Times New Roman" w:hAnsi="Times New Roman" w:cs="Times New Roman"/>
          <w:sz w:val="24"/>
          <w:szCs w:val="24"/>
          <w:lang w:val="pt-PT"/>
        </w:rPr>
        <w:lastRenderedPageBreak/>
        <w:t>________</w:t>
      </w:r>
      <w:r w:rsidRPr="00D20D7F">
        <w:rPr>
          <w:rFonts w:ascii="Times New Roman" w:hAnsi="Times New Roman" w:cs="Times New Roman"/>
          <w:sz w:val="24"/>
          <w:szCs w:val="24"/>
          <w:lang w:val="pt-PT"/>
        </w:rPr>
        <w:t xml:space="preserve">. </w:t>
      </w:r>
      <w:r>
        <w:rPr>
          <w:rFonts w:ascii="Times New Roman" w:hAnsi="Times New Roman" w:cs="Times New Roman"/>
          <w:sz w:val="24"/>
          <w:szCs w:val="24"/>
          <w:lang w:val="pt-PT"/>
        </w:rPr>
        <w:t>Ministério de Minas e Energia.</w:t>
      </w:r>
      <w:r w:rsidRPr="0048319A">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Empresa de Pesquisa Energética. </w:t>
      </w:r>
      <w:r w:rsidRPr="00D20D7F">
        <w:rPr>
          <w:rFonts w:ascii="Times New Roman" w:hAnsi="Times New Roman" w:cs="Times New Roman"/>
          <w:b/>
          <w:sz w:val="24"/>
          <w:szCs w:val="24"/>
          <w:lang w:val="pt-PT"/>
        </w:rPr>
        <w:t>Balanço Energético Nacional 2011</w:t>
      </w:r>
      <w:r>
        <w:rPr>
          <w:rFonts w:ascii="Times New Roman" w:hAnsi="Times New Roman" w:cs="Times New Roman"/>
          <w:sz w:val="24"/>
          <w:szCs w:val="24"/>
          <w:lang w:val="pt-PT"/>
        </w:rPr>
        <w:t>:</w:t>
      </w:r>
      <w:r w:rsidRPr="00D20D7F">
        <w:rPr>
          <w:rFonts w:ascii="Times New Roman" w:hAnsi="Times New Roman" w:cs="Times New Roman"/>
          <w:b/>
          <w:sz w:val="24"/>
          <w:szCs w:val="24"/>
          <w:lang w:val="pt-PT"/>
        </w:rPr>
        <w:t xml:space="preserve"> Ano base 2010</w:t>
      </w:r>
      <w:r>
        <w:rPr>
          <w:rFonts w:ascii="Times New Roman" w:hAnsi="Times New Roman" w:cs="Times New Roman"/>
          <w:sz w:val="24"/>
          <w:szCs w:val="24"/>
          <w:lang w:val="pt-PT"/>
        </w:rPr>
        <w:t xml:space="preserve">. </w:t>
      </w:r>
      <w:r w:rsidRPr="00D20D7F">
        <w:rPr>
          <w:rFonts w:ascii="Times New Roman" w:hAnsi="Times New Roman" w:cs="Times New Roman"/>
          <w:sz w:val="24"/>
          <w:szCs w:val="24"/>
          <w:lang w:val="pt-PT"/>
        </w:rPr>
        <w:t>Rio de Janeiro: EPE, 2011</w:t>
      </w:r>
      <w:r>
        <w:rPr>
          <w:rFonts w:ascii="Times New Roman" w:hAnsi="Times New Roman" w:cs="Times New Roman"/>
          <w:sz w:val="24"/>
          <w:szCs w:val="24"/>
          <w:lang w:val="pt-PT"/>
        </w:rPr>
        <w:t>a.</w:t>
      </w:r>
    </w:p>
    <w:p w:rsidR="000436A2" w:rsidRDefault="000436A2" w:rsidP="000436A2">
      <w:pPr>
        <w:rPr>
          <w:rFonts w:ascii="Times New Roman" w:hAnsi="Times New Roman" w:cs="Times New Roman"/>
          <w:sz w:val="24"/>
          <w:szCs w:val="24"/>
          <w:lang w:val="pt-PT"/>
        </w:rPr>
      </w:pPr>
    </w:p>
    <w:p w:rsidR="000436A2" w:rsidRPr="004C6D64" w:rsidRDefault="000436A2" w:rsidP="000436A2">
      <w:pPr>
        <w:rPr>
          <w:rFonts w:ascii="Times New Roman" w:hAnsi="Times New Roman" w:cs="Times New Roman"/>
          <w:sz w:val="24"/>
          <w:szCs w:val="24"/>
        </w:rPr>
      </w:pPr>
      <w:r>
        <w:rPr>
          <w:rFonts w:ascii="Times New Roman" w:hAnsi="Times New Roman" w:cs="Times New Roman"/>
          <w:sz w:val="24"/>
          <w:szCs w:val="24"/>
          <w:lang w:val="pt-PT"/>
        </w:rPr>
        <w:t>________</w:t>
      </w:r>
      <w:r w:rsidRPr="00D20D7F">
        <w:rPr>
          <w:rFonts w:ascii="Times New Roman" w:hAnsi="Times New Roman" w:cs="Times New Roman"/>
          <w:sz w:val="24"/>
          <w:szCs w:val="24"/>
          <w:lang w:val="pt-PT"/>
        </w:rPr>
        <w:t xml:space="preserve">. </w:t>
      </w:r>
      <w:r>
        <w:rPr>
          <w:rFonts w:ascii="Times New Roman" w:hAnsi="Times New Roman" w:cs="Times New Roman"/>
          <w:sz w:val="24"/>
          <w:szCs w:val="24"/>
          <w:lang w:val="pt-PT"/>
        </w:rPr>
        <w:t>Ministério de Minas e Energia.</w:t>
      </w:r>
      <w:r w:rsidRPr="0048319A">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Empresa de Pesquisa Energética. </w:t>
      </w:r>
      <w:r>
        <w:rPr>
          <w:rFonts w:ascii="Times New Roman" w:hAnsi="Times New Roman" w:cs="Times New Roman"/>
          <w:b/>
          <w:sz w:val="24"/>
          <w:szCs w:val="24"/>
          <w:lang w:val="pt-PT"/>
        </w:rPr>
        <w:t xml:space="preserve">Plano Decenal de Expansão de Energia </w:t>
      </w:r>
      <w:r w:rsidRPr="00D20D7F">
        <w:rPr>
          <w:rFonts w:ascii="Times New Roman" w:hAnsi="Times New Roman" w:cs="Times New Roman"/>
          <w:b/>
          <w:sz w:val="24"/>
          <w:szCs w:val="24"/>
          <w:lang w:val="pt-PT"/>
        </w:rPr>
        <w:t>20</w:t>
      </w:r>
      <w:r>
        <w:rPr>
          <w:rFonts w:ascii="Times New Roman" w:hAnsi="Times New Roman" w:cs="Times New Roman"/>
          <w:b/>
          <w:sz w:val="24"/>
          <w:szCs w:val="24"/>
          <w:lang w:val="pt-PT"/>
        </w:rPr>
        <w:t>20</w:t>
      </w:r>
      <w:r>
        <w:rPr>
          <w:rFonts w:ascii="Times New Roman" w:hAnsi="Times New Roman" w:cs="Times New Roman"/>
          <w:sz w:val="24"/>
          <w:szCs w:val="24"/>
          <w:lang w:val="pt-PT"/>
        </w:rPr>
        <w:t xml:space="preserve">. </w:t>
      </w:r>
      <w:r w:rsidRPr="004C6D64">
        <w:rPr>
          <w:rFonts w:ascii="Times New Roman" w:hAnsi="Times New Roman" w:cs="Times New Roman"/>
          <w:sz w:val="24"/>
          <w:szCs w:val="24"/>
        </w:rPr>
        <w:t>Rio de Janeiro: EPE, 2011b.</w:t>
      </w:r>
    </w:p>
    <w:p w:rsidR="000436A2" w:rsidRPr="004C6D64" w:rsidRDefault="000436A2" w:rsidP="000436A2">
      <w:pPr>
        <w:rPr>
          <w:rFonts w:ascii="Times New Roman" w:hAnsi="Times New Roman" w:cs="Times New Roman"/>
          <w:sz w:val="24"/>
          <w:szCs w:val="24"/>
        </w:rPr>
      </w:pPr>
    </w:p>
    <w:p w:rsidR="000436A2" w:rsidRDefault="000436A2" w:rsidP="000436A2">
      <w:pPr>
        <w:rPr>
          <w:rFonts w:ascii="Times New Roman" w:hAnsi="Times New Roman" w:cs="Times New Roman"/>
          <w:sz w:val="24"/>
          <w:szCs w:val="24"/>
        </w:rPr>
      </w:pPr>
      <w:r>
        <w:rPr>
          <w:rFonts w:ascii="Times New Roman" w:hAnsi="Times New Roman" w:cs="Times New Roman"/>
          <w:sz w:val="24"/>
          <w:szCs w:val="24"/>
        </w:rPr>
        <w:t xml:space="preserve">CASTRO, N. J.; DANTAS, G. A. </w:t>
      </w:r>
      <w:r w:rsidRPr="00243A9F">
        <w:rPr>
          <w:rFonts w:ascii="Times New Roman" w:hAnsi="Times New Roman" w:cs="Times New Roman"/>
          <w:b/>
          <w:sz w:val="24"/>
          <w:szCs w:val="24"/>
        </w:rPr>
        <w:t>Lições do PROINFA e do Leilão de Fontes Alternativas para a Inserção da Bioeletricidade Sucroalcooleira na Matriz Elétrica Brasileira</w:t>
      </w:r>
      <w:r>
        <w:rPr>
          <w:rFonts w:ascii="Times New Roman" w:hAnsi="Times New Roman" w:cs="Times New Roman"/>
          <w:sz w:val="24"/>
          <w:szCs w:val="24"/>
        </w:rPr>
        <w:t>. Anais do 30º Congresso Internacional de Bioenergia. Curitiba, 2008.</w:t>
      </w:r>
    </w:p>
    <w:p w:rsidR="000436A2" w:rsidRPr="004C6D64" w:rsidRDefault="000436A2" w:rsidP="000436A2">
      <w:pPr>
        <w:rPr>
          <w:rFonts w:ascii="Times New Roman" w:hAnsi="Times New Roman" w:cs="Times New Roman"/>
          <w:sz w:val="24"/>
          <w:szCs w:val="24"/>
        </w:rPr>
      </w:pPr>
    </w:p>
    <w:p w:rsidR="000436A2" w:rsidRDefault="000436A2" w:rsidP="000436A2">
      <w:pPr>
        <w:spacing w:after="240"/>
        <w:rPr>
          <w:rFonts w:ascii="Times New Roman" w:hAnsi="Times New Roman" w:cs="Times New Roman"/>
          <w:sz w:val="24"/>
          <w:szCs w:val="24"/>
        </w:rPr>
      </w:pPr>
      <w:r>
        <w:rPr>
          <w:rFonts w:ascii="Times New Roman" w:hAnsi="Times New Roman" w:cs="Times New Roman"/>
          <w:sz w:val="24"/>
          <w:szCs w:val="24"/>
        </w:rPr>
        <w:t>CGEE.</w:t>
      </w:r>
      <w:r w:rsidRPr="00B97B35">
        <w:rPr>
          <w:rFonts w:ascii="Times New Roman" w:hAnsi="Times New Roman" w:cs="Times New Roman"/>
          <w:sz w:val="24"/>
          <w:szCs w:val="24"/>
        </w:rPr>
        <w:t xml:space="preserve"> </w:t>
      </w:r>
      <w:r>
        <w:rPr>
          <w:rFonts w:ascii="Times New Roman" w:hAnsi="Times New Roman" w:cs="Times New Roman"/>
          <w:sz w:val="24"/>
          <w:szCs w:val="24"/>
        </w:rPr>
        <w:t>Centro de Gestão de Estudos Estratégicos</w:t>
      </w:r>
      <w:r w:rsidRPr="00B97B35">
        <w:rPr>
          <w:rFonts w:ascii="Times New Roman" w:hAnsi="Times New Roman" w:cs="Times New Roman"/>
          <w:sz w:val="24"/>
          <w:szCs w:val="24"/>
        </w:rPr>
        <w:t xml:space="preserve">. </w:t>
      </w:r>
      <w:r w:rsidRPr="00B97B35">
        <w:rPr>
          <w:rFonts w:ascii="Times New Roman" w:hAnsi="Times New Roman" w:cs="Times New Roman"/>
          <w:b/>
          <w:sz w:val="24"/>
          <w:szCs w:val="24"/>
        </w:rPr>
        <w:t>Estudo sobre as possibilidades e impactos da produção de grandes quantidades de etanol visando à substituição parcial de gasolina no mundo – Fase 1</w:t>
      </w:r>
      <w:r w:rsidRPr="00B97B35">
        <w:rPr>
          <w:rFonts w:ascii="Times New Roman" w:hAnsi="Times New Roman" w:cs="Times New Roman"/>
          <w:sz w:val="24"/>
          <w:szCs w:val="24"/>
        </w:rPr>
        <w:t>. Campinas: Nipe/Unicamp e Centro de G</w:t>
      </w:r>
      <w:r>
        <w:rPr>
          <w:rFonts w:ascii="Times New Roman" w:hAnsi="Times New Roman" w:cs="Times New Roman"/>
          <w:sz w:val="24"/>
          <w:szCs w:val="24"/>
        </w:rPr>
        <w:t xml:space="preserve">estão de Estudos Estratégicos, </w:t>
      </w:r>
      <w:r w:rsidRPr="00B97B35">
        <w:rPr>
          <w:rFonts w:ascii="Times New Roman" w:hAnsi="Times New Roman" w:cs="Times New Roman"/>
          <w:sz w:val="24"/>
          <w:szCs w:val="24"/>
        </w:rPr>
        <w:t>2005</w:t>
      </w:r>
      <w:r>
        <w:rPr>
          <w:rFonts w:ascii="Times New Roman" w:hAnsi="Times New Roman" w:cs="Times New Roman"/>
          <w:sz w:val="24"/>
          <w:szCs w:val="24"/>
        </w:rPr>
        <w:t>.</w:t>
      </w:r>
      <w:r w:rsidRPr="00C5427C">
        <w:rPr>
          <w:rFonts w:ascii="Times New Roman" w:hAnsi="Times New Roman" w:cs="Times New Roman"/>
          <w:sz w:val="24"/>
          <w:szCs w:val="24"/>
        </w:rPr>
        <w:t xml:space="preserve"> </w:t>
      </w:r>
    </w:p>
    <w:p w:rsidR="000436A2" w:rsidRDefault="000436A2" w:rsidP="000436A2">
      <w:pPr>
        <w:spacing w:after="240"/>
        <w:rPr>
          <w:rFonts w:ascii="Times New Roman" w:hAnsi="Times New Roman" w:cs="Times New Roman"/>
          <w:sz w:val="24"/>
          <w:szCs w:val="24"/>
        </w:rPr>
      </w:pPr>
      <w:r>
        <w:rPr>
          <w:rFonts w:ascii="Times New Roman" w:hAnsi="Times New Roman" w:cs="Times New Roman"/>
          <w:sz w:val="24"/>
          <w:szCs w:val="24"/>
        </w:rPr>
        <w:t xml:space="preserve">________. </w:t>
      </w:r>
      <w:r w:rsidRPr="007130FC">
        <w:rPr>
          <w:rFonts w:ascii="Times New Roman" w:hAnsi="Times New Roman" w:cs="Times New Roman"/>
          <w:b/>
          <w:sz w:val="24"/>
          <w:szCs w:val="24"/>
        </w:rPr>
        <w:t>Química Verde no Brasil</w:t>
      </w:r>
      <w:r>
        <w:rPr>
          <w:rFonts w:ascii="Times New Roman" w:hAnsi="Times New Roman" w:cs="Times New Roman"/>
          <w:sz w:val="24"/>
          <w:szCs w:val="24"/>
        </w:rPr>
        <w:t>: 2010 – 2030. Ed. rev. e atual. Brasília: Centro de Gestão de Estudos Estratégicos, 2010.</w:t>
      </w:r>
    </w:p>
    <w:p w:rsidR="000436A2" w:rsidRDefault="000436A2" w:rsidP="000436A2">
      <w:pPr>
        <w:spacing w:after="240"/>
        <w:rPr>
          <w:rFonts w:ascii="Times New Roman" w:hAnsi="Times New Roman" w:cs="Times New Roman"/>
          <w:sz w:val="24"/>
          <w:szCs w:val="24"/>
        </w:rPr>
      </w:pPr>
      <w:r>
        <w:rPr>
          <w:rFonts w:ascii="Times New Roman" w:hAnsi="Times New Roman" w:cs="Times New Roman"/>
          <w:sz w:val="24"/>
          <w:szCs w:val="24"/>
        </w:rPr>
        <w:t xml:space="preserve">CGEE; </w:t>
      </w:r>
      <w:r w:rsidRPr="008A5391">
        <w:rPr>
          <w:rFonts w:ascii="Times New Roman" w:hAnsi="Times New Roman" w:cs="Times New Roman"/>
          <w:sz w:val="24"/>
          <w:szCs w:val="24"/>
        </w:rPr>
        <w:t>BND</w:t>
      </w:r>
      <w:r>
        <w:rPr>
          <w:rFonts w:ascii="Times New Roman" w:hAnsi="Times New Roman" w:cs="Times New Roman"/>
          <w:sz w:val="24"/>
          <w:szCs w:val="24"/>
        </w:rPr>
        <w:t xml:space="preserve">ES. Centro de Gestão e Estudos Estratégicos; </w:t>
      </w:r>
      <w:r w:rsidRPr="008A5391">
        <w:rPr>
          <w:rFonts w:ascii="Times New Roman" w:hAnsi="Times New Roman" w:cs="Times New Roman"/>
          <w:sz w:val="24"/>
          <w:szCs w:val="24"/>
        </w:rPr>
        <w:t>Banco Nacional de Desenvolvimento Econômi</w:t>
      </w:r>
      <w:r>
        <w:rPr>
          <w:rFonts w:ascii="Times New Roman" w:hAnsi="Times New Roman" w:cs="Times New Roman"/>
          <w:sz w:val="24"/>
          <w:szCs w:val="24"/>
        </w:rPr>
        <w:t xml:space="preserve">co e Social. </w:t>
      </w:r>
      <w:r w:rsidRPr="008A5391">
        <w:rPr>
          <w:rFonts w:ascii="Times New Roman" w:hAnsi="Times New Roman" w:cs="Times New Roman"/>
          <w:b/>
          <w:sz w:val="24"/>
          <w:szCs w:val="24"/>
        </w:rPr>
        <w:t>Bioetanol de cana-de-açúcar: Energia para o desenvolvimento sustentável</w:t>
      </w:r>
      <w:r>
        <w:rPr>
          <w:rFonts w:ascii="Times New Roman" w:hAnsi="Times New Roman" w:cs="Times New Roman"/>
          <w:sz w:val="24"/>
          <w:szCs w:val="24"/>
        </w:rPr>
        <w:t xml:space="preserve">. Rio de Janeiro, 2008, </w:t>
      </w:r>
      <w:r w:rsidRPr="008A5391">
        <w:rPr>
          <w:rFonts w:ascii="Times New Roman" w:hAnsi="Times New Roman" w:cs="Times New Roman"/>
          <w:sz w:val="24"/>
          <w:szCs w:val="24"/>
        </w:rPr>
        <w:t>3</w:t>
      </w:r>
      <w:r>
        <w:rPr>
          <w:rFonts w:ascii="Times New Roman" w:hAnsi="Times New Roman" w:cs="Times New Roman"/>
          <w:sz w:val="24"/>
          <w:szCs w:val="24"/>
        </w:rPr>
        <w:t>16 p.</w:t>
      </w:r>
    </w:p>
    <w:p w:rsidR="000436A2" w:rsidRDefault="000436A2" w:rsidP="000436A2">
      <w:pPr>
        <w:spacing w:after="240"/>
        <w:rPr>
          <w:rFonts w:ascii="Times New Roman" w:hAnsi="Times New Roman" w:cs="Times New Roman"/>
          <w:sz w:val="24"/>
          <w:szCs w:val="24"/>
        </w:rPr>
      </w:pPr>
      <w:r>
        <w:rPr>
          <w:rFonts w:ascii="Times New Roman" w:hAnsi="Times New Roman" w:cs="Times New Roman"/>
          <w:sz w:val="24"/>
          <w:szCs w:val="24"/>
        </w:rPr>
        <w:t xml:space="preserve">CONCEIÇÃO SILVA, N. L. </w:t>
      </w:r>
      <w:r w:rsidRPr="009A2B3F">
        <w:rPr>
          <w:rFonts w:ascii="Times New Roman" w:hAnsi="Times New Roman" w:cs="Times New Roman"/>
          <w:b/>
          <w:sz w:val="24"/>
          <w:szCs w:val="24"/>
        </w:rPr>
        <w:t>Produção de bioetanol de segunda geração a partir de biomassa residual da indústria de celulose</w:t>
      </w:r>
      <w:r>
        <w:rPr>
          <w:rFonts w:ascii="Times New Roman" w:hAnsi="Times New Roman" w:cs="Times New Roman"/>
          <w:sz w:val="24"/>
          <w:szCs w:val="24"/>
        </w:rPr>
        <w:t xml:space="preserve">. 2010. 123 p. </w:t>
      </w:r>
      <w:r w:rsidRPr="009A2B3F">
        <w:rPr>
          <w:rFonts w:ascii="Times New Roman" w:hAnsi="Times New Roman" w:cs="Times New Roman"/>
          <w:sz w:val="24"/>
          <w:szCs w:val="24"/>
        </w:rPr>
        <w:t>Dissertação</w:t>
      </w:r>
      <w:r>
        <w:rPr>
          <w:rFonts w:ascii="Times New Roman" w:hAnsi="Times New Roman" w:cs="Times New Roman"/>
          <w:sz w:val="24"/>
          <w:szCs w:val="24"/>
        </w:rPr>
        <w:t xml:space="preserve"> (Mestrado em Tecnologia de Processos Químicos e Bioquímicos) – Escola de Química, Universidade Federal do Rio de Janeiro</w:t>
      </w:r>
      <w:r w:rsidRPr="009A2B3F">
        <w:rPr>
          <w:rFonts w:ascii="Times New Roman" w:hAnsi="Times New Roman" w:cs="Times New Roman"/>
          <w:sz w:val="24"/>
          <w:szCs w:val="24"/>
        </w:rPr>
        <w:t>.</w:t>
      </w:r>
    </w:p>
    <w:p w:rsidR="000436A2" w:rsidRDefault="000436A2" w:rsidP="000436A2">
      <w:pPr>
        <w:rPr>
          <w:rFonts w:ascii="Times New Roman" w:hAnsi="Times New Roman" w:cs="Times New Roman"/>
          <w:sz w:val="24"/>
          <w:szCs w:val="24"/>
          <w:lang w:val="en-US"/>
        </w:rPr>
      </w:pPr>
      <w:r>
        <w:rPr>
          <w:rFonts w:ascii="Times New Roman" w:hAnsi="Times New Roman" w:cs="Times New Roman"/>
          <w:sz w:val="24"/>
          <w:szCs w:val="24"/>
          <w:lang w:val="en-US"/>
        </w:rPr>
        <w:t>CREUTZIG, F. et al</w:t>
      </w:r>
      <w:r w:rsidRPr="000E4BE9">
        <w:rPr>
          <w:rFonts w:ascii="Times New Roman" w:hAnsi="Times New Roman" w:cs="Times New Roman"/>
          <w:sz w:val="24"/>
          <w:szCs w:val="24"/>
          <w:lang w:val="en-US"/>
        </w:rPr>
        <w:t xml:space="preserve">. </w:t>
      </w:r>
      <w:r w:rsidRPr="00050905">
        <w:rPr>
          <w:rFonts w:ascii="Times New Roman" w:hAnsi="Times New Roman" w:cs="Times New Roman"/>
          <w:sz w:val="24"/>
          <w:szCs w:val="24"/>
          <w:lang w:val="en-US"/>
        </w:rPr>
        <w:t>Can bioenergy assessments deliver?</w:t>
      </w:r>
      <w:r w:rsidRPr="000E4BE9">
        <w:rPr>
          <w:rFonts w:ascii="Times New Roman" w:hAnsi="Times New Roman" w:cs="Times New Roman"/>
          <w:sz w:val="24"/>
          <w:szCs w:val="24"/>
          <w:lang w:val="en-US"/>
        </w:rPr>
        <w:t xml:space="preserve"> </w:t>
      </w:r>
      <w:r w:rsidRPr="00050905">
        <w:rPr>
          <w:rFonts w:ascii="Times New Roman" w:hAnsi="Times New Roman" w:cs="Times New Roman"/>
          <w:b/>
          <w:sz w:val="24"/>
          <w:szCs w:val="24"/>
          <w:lang w:val="en-US"/>
        </w:rPr>
        <w:t>Economics of Energy and Environmental Policy</w:t>
      </w:r>
      <w:r w:rsidRPr="00D3014C">
        <w:rPr>
          <w:rFonts w:ascii="Times New Roman" w:hAnsi="Times New Roman" w:cs="Times New Roman"/>
          <w:sz w:val="24"/>
          <w:szCs w:val="24"/>
          <w:lang w:val="en-US"/>
        </w:rPr>
        <w:t>, v. 1, n. 2, 2012.</w:t>
      </w:r>
    </w:p>
    <w:p w:rsidR="000436A2" w:rsidRPr="00C25399" w:rsidRDefault="000436A2" w:rsidP="000436A2">
      <w:pPr>
        <w:rPr>
          <w:rFonts w:ascii="Times New Roman" w:hAnsi="Times New Roman" w:cs="Times New Roman"/>
          <w:sz w:val="24"/>
          <w:szCs w:val="24"/>
          <w:lang w:val="en-US"/>
        </w:rPr>
      </w:pPr>
    </w:p>
    <w:p w:rsidR="000436A2" w:rsidRDefault="000436A2" w:rsidP="000436A2">
      <w:pPr>
        <w:spacing w:after="240"/>
        <w:rPr>
          <w:rFonts w:ascii="Times New Roman" w:hAnsi="Times New Roman" w:cs="Times New Roman"/>
          <w:sz w:val="24"/>
          <w:szCs w:val="24"/>
        </w:rPr>
      </w:pPr>
      <w:r>
        <w:rPr>
          <w:rFonts w:ascii="Times New Roman" w:hAnsi="Times New Roman" w:cs="Times New Roman"/>
          <w:sz w:val="24"/>
          <w:szCs w:val="24"/>
        </w:rPr>
        <w:t xml:space="preserve">DA SILVA, A. S. </w:t>
      </w:r>
      <w:r w:rsidRPr="00DB4E12">
        <w:rPr>
          <w:rFonts w:ascii="Times New Roman" w:hAnsi="Times New Roman" w:cs="Times New Roman"/>
          <w:b/>
          <w:sz w:val="24"/>
          <w:szCs w:val="24"/>
        </w:rPr>
        <w:t>Pré-tratamentos por moagem do bagaço e da palha de cana-de-açúcar para hidrólise enzimática e produção de bioetanol</w:t>
      </w:r>
      <w:r>
        <w:rPr>
          <w:rFonts w:ascii="Times New Roman" w:hAnsi="Times New Roman" w:cs="Times New Roman"/>
          <w:sz w:val="24"/>
          <w:szCs w:val="24"/>
        </w:rPr>
        <w:t>. 2010. 99 p. Dissertação (Mestrado em Bioquímica) - Instituto de Química, Universidade Federal do Rio de Janeiro</w:t>
      </w:r>
      <w:r w:rsidRPr="00DB4E12">
        <w:rPr>
          <w:rFonts w:ascii="Times New Roman" w:hAnsi="Times New Roman" w:cs="Times New Roman"/>
          <w:sz w:val="24"/>
          <w:szCs w:val="24"/>
        </w:rPr>
        <w:t xml:space="preserve">, </w:t>
      </w:r>
      <w:r>
        <w:rPr>
          <w:rFonts w:ascii="Times New Roman" w:hAnsi="Times New Roman" w:cs="Times New Roman"/>
          <w:sz w:val="24"/>
          <w:szCs w:val="24"/>
        </w:rPr>
        <w:t>Rio de Janeiro</w:t>
      </w:r>
      <w:r w:rsidRPr="00DB4E12">
        <w:rPr>
          <w:rFonts w:ascii="Times New Roman" w:hAnsi="Times New Roman" w:cs="Times New Roman"/>
          <w:sz w:val="24"/>
          <w:szCs w:val="24"/>
        </w:rPr>
        <w:t>.</w:t>
      </w:r>
    </w:p>
    <w:p w:rsidR="000436A2" w:rsidRPr="004C6D64" w:rsidRDefault="000436A2" w:rsidP="000436A2">
      <w:pPr>
        <w:spacing w:after="240"/>
        <w:rPr>
          <w:rFonts w:ascii="Times New Roman" w:hAnsi="Times New Roman" w:cs="Times New Roman"/>
          <w:sz w:val="24"/>
          <w:szCs w:val="24"/>
          <w:lang w:val="en-US"/>
        </w:rPr>
      </w:pPr>
      <w:r w:rsidRPr="007317D4">
        <w:rPr>
          <w:rFonts w:ascii="Times New Roman" w:hAnsi="Times New Roman" w:cs="Times New Roman"/>
          <w:sz w:val="24"/>
          <w:szCs w:val="24"/>
          <w:lang w:val="en-US"/>
        </w:rPr>
        <w:t xml:space="preserve">DANTAS, E.; FIGUEIREDO, P. </w:t>
      </w:r>
      <w:r w:rsidRPr="00890B79">
        <w:rPr>
          <w:rFonts w:ascii="Times New Roman" w:hAnsi="Times New Roman" w:cs="Times New Roman"/>
          <w:b/>
          <w:sz w:val="24"/>
          <w:szCs w:val="24"/>
          <w:lang w:val="en-US"/>
        </w:rPr>
        <w:t>The Evolution of the Knowledge Accumulation Function in the Formation of the Brazilian Biofuels Innovation System</w:t>
      </w:r>
      <w:r w:rsidRPr="007317D4">
        <w:rPr>
          <w:rFonts w:ascii="Times New Roman" w:hAnsi="Times New Roman" w:cs="Times New Roman"/>
          <w:sz w:val="24"/>
          <w:szCs w:val="24"/>
          <w:lang w:val="en-US"/>
        </w:rPr>
        <w:t xml:space="preserve">. </w:t>
      </w:r>
      <w:r>
        <w:rPr>
          <w:rFonts w:ascii="Times New Roman" w:hAnsi="Times New Roman" w:cs="Times New Roman"/>
          <w:sz w:val="24"/>
          <w:szCs w:val="24"/>
        </w:rPr>
        <w:t xml:space="preserve">VII </w:t>
      </w:r>
      <w:r w:rsidRPr="007317D4">
        <w:rPr>
          <w:rFonts w:ascii="Times New Roman" w:hAnsi="Times New Roman" w:cs="Times New Roman"/>
          <w:sz w:val="24"/>
          <w:szCs w:val="24"/>
        </w:rPr>
        <w:t xml:space="preserve">GLOBELICS Conference in Dakar, 2009. Disponível em:  </w:t>
      </w:r>
      <w:hyperlink r:id="rId39" w:history="1">
        <w:r w:rsidRPr="009D546A">
          <w:rPr>
            <w:rStyle w:val="Hyperlink"/>
            <w:rFonts w:ascii="Times New Roman" w:hAnsi="Times New Roman"/>
            <w:sz w:val="24"/>
            <w:szCs w:val="24"/>
          </w:rPr>
          <w:t>http://globelics2009dakar.merit.unu.edu/papers/1238516980_ED.pdf</w:t>
        </w:r>
      </w:hyperlink>
      <w:r>
        <w:rPr>
          <w:rFonts w:ascii="Times New Roman" w:hAnsi="Times New Roman" w:cs="Times New Roman"/>
          <w:sz w:val="24"/>
          <w:szCs w:val="24"/>
        </w:rPr>
        <w:t xml:space="preserve">. </w:t>
      </w:r>
      <w:r w:rsidRPr="004C6D64">
        <w:rPr>
          <w:rFonts w:ascii="Times New Roman" w:hAnsi="Times New Roman" w:cs="Times New Roman"/>
          <w:sz w:val="24"/>
          <w:szCs w:val="24"/>
          <w:lang w:val="en-US"/>
        </w:rPr>
        <w:t>Acesso em: 11 jun. 2012.</w:t>
      </w:r>
    </w:p>
    <w:p w:rsidR="000436A2" w:rsidRPr="0080104E" w:rsidRDefault="000436A2" w:rsidP="000436A2">
      <w:pPr>
        <w:rPr>
          <w:rFonts w:ascii="Times New Roman" w:hAnsi="Times New Roman" w:cs="Times New Roman"/>
          <w:sz w:val="24"/>
          <w:szCs w:val="24"/>
        </w:rPr>
      </w:pPr>
      <w:r w:rsidRPr="004C6D64">
        <w:rPr>
          <w:rFonts w:ascii="Times New Roman" w:hAnsi="Times New Roman" w:cs="Times New Roman"/>
          <w:sz w:val="24"/>
          <w:szCs w:val="24"/>
          <w:lang w:val="en-US"/>
        </w:rPr>
        <w:t xml:space="preserve">DOSI, G. G., FREEMAN, C., NELSON, R., SILVERBERG, G., SOETE, L. (Eds.). </w:t>
      </w:r>
      <w:r w:rsidRPr="00995B01">
        <w:rPr>
          <w:rFonts w:ascii="Times New Roman" w:hAnsi="Times New Roman" w:cs="Times New Roman"/>
          <w:b/>
          <w:sz w:val="24"/>
          <w:szCs w:val="24"/>
          <w:lang w:val="en-US"/>
        </w:rPr>
        <w:t>Technical Change and Economic Theory</w:t>
      </w:r>
      <w:r w:rsidRPr="00995B01">
        <w:rPr>
          <w:rFonts w:ascii="Times New Roman" w:hAnsi="Times New Roman" w:cs="Times New Roman"/>
          <w:sz w:val="24"/>
          <w:szCs w:val="24"/>
          <w:lang w:val="en-US"/>
        </w:rPr>
        <w:t xml:space="preserve">. </w:t>
      </w:r>
      <w:r w:rsidRPr="0080104E">
        <w:rPr>
          <w:rFonts w:ascii="Times New Roman" w:hAnsi="Times New Roman" w:cs="Times New Roman"/>
          <w:sz w:val="24"/>
          <w:szCs w:val="24"/>
        </w:rPr>
        <w:t>Londres, Pinter Publishers, 1988.</w:t>
      </w:r>
    </w:p>
    <w:p w:rsidR="000436A2" w:rsidRPr="0080104E" w:rsidRDefault="000436A2" w:rsidP="000436A2">
      <w:pPr>
        <w:rPr>
          <w:rFonts w:ascii="Times New Roman" w:hAnsi="Times New Roman" w:cs="Times New Roman"/>
          <w:sz w:val="24"/>
          <w:szCs w:val="24"/>
        </w:rPr>
      </w:pPr>
    </w:p>
    <w:p w:rsidR="000436A2" w:rsidRPr="0080104E" w:rsidRDefault="000436A2" w:rsidP="000436A2">
      <w:pPr>
        <w:rPr>
          <w:rFonts w:ascii="Times New Roman" w:hAnsi="Times New Roman" w:cs="Times New Roman"/>
          <w:sz w:val="24"/>
          <w:szCs w:val="24"/>
        </w:rPr>
      </w:pPr>
      <w:r w:rsidRPr="0080104E">
        <w:rPr>
          <w:rFonts w:ascii="Times New Roman" w:hAnsi="Times New Roman" w:cs="Times New Roman"/>
          <w:sz w:val="24"/>
          <w:szCs w:val="24"/>
        </w:rPr>
        <w:t xml:space="preserve">DUNHAM, F. B.; FLECK, D. L.; BOMTEMPO, J. V. </w:t>
      </w:r>
      <w:r w:rsidRPr="0080104E">
        <w:rPr>
          <w:rFonts w:ascii="Times New Roman" w:hAnsi="Times New Roman" w:cs="Times New Roman"/>
          <w:b/>
          <w:sz w:val="24"/>
          <w:szCs w:val="24"/>
        </w:rPr>
        <w:t>Mudança Institucional e Tecnológica em Sistemas de Inovação: Estudo da Superação da Crise do Mosaico da Cana-de-açúcar na Indústria Sucroalcooleira do Brasil</w:t>
      </w:r>
      <w:r w:rsidRPr="0080104E">
        <w:rPr>
          <w:rFonts w:ascii="Times New Roman" w:hAnsi="Times New Roman" w:cs="Times New Roman"/>
          <w:sz w:val="24"/>
          <w:szCs w:val="24"/>
        </w:rPr>
        <w:t>. XXVI Simpósio de Gestão de Inovação Tecnológica. Vitória, Novembro de 2010.</w:t>
      </w:r>
    </w:p>
    <w:p w:rsidR="000436A2" w:rsidRPr="0080104E" w:rsidRDefault="000436A2" w:rsidP="000436A2">
      <w:pPr>
        <w:rPr>
          <w:rFonts w:ascii="Times New Roman" w:hAnsi="Times New Roman" w:cs="Times New Roman"/>
          <w:sz w:val="24"/>
          <w:szCs w:val="24"/>
        </w:rPr>
      </w:pPr>
    </w:p>
    <w:p w:rsidR="000436A2" w:rsidRPr="0080104E" w:rsidRDefault="000436A2" w:rsidP="000436A2">
      <w:pPr>
        <w:rPr>
          <w:rFonts w:ascii="Times New Roman" w:hAnsi="Times New Roman" w:cs="Times New Roman"/>
          <w:sz w:val="24"/>
          <w:szCs w:val="24"/>
        </w:rPr>
      </w:pPr>
      <w:r w:rsidRPr="0080104E">
        <w:rPr>
          <w:rFonts w:ascii="Times New Roman" w:hAnsi="Times New Roman" w:cs="Times New Roman"/>
          <w:sz w:val="24"/>
          <w:szCs w:val="24"/>
          <w:lang w:val="en-US"/>
        </w:rPr>
        <w:t xml:space="preserve">EPA. Environmental Protection Agency. </w:t>
      </w:r>
      <w:r w:rsidRPr="0080104E">
        <w:rPr>
          <w:rFonts w:ascii="Times New Roman" w:hAnsi="Times New Roman" w:cs="Times New Roman"/>
          <w:b/>
          <w:sz w:val="24"/>
          <w:szCs w:val="24"/>
          <w:lang w:val="en-US"/>
        </w:rPr>
        <w:t xml:space="preserve">Regulation of Fuels and Fuel Additives: Changes to Renewable Fuel Standard Program (Final Rule). </w:t>
      </w:r>
      <w:r w:rsidRPr="0080104E">
        <w:rPr>
          <w:rFonts w:ascii="Times New Roman" w:hAnsi="Times New Roman" w:cs="Times New Roman"/>
          <w:sz w:val="24"/>
          <w:szCs w:val="24"/>
        </w:rPr>
        <w:t>Estados Unidos, 2010a.</w:t>
      </w:r>
    </w:p>
    <w:p w:rsidR="000436A2" w:rsidRPr="0080104E" w:rsidRDefault="000436A2" w:rsidP="000436A2">
      <w:pPr>
        <w:rPr>
          <w:rFonts w:ascii="Times New Roman" w:hAnsi="Times New Roman" w:cs="Times New Roman"/>
          <w:sz w:val="24"/>
          <w:szCs w:val="24"/>
        </w:rPr>
      </w:pPr>
    </w:p>
    <w:p w:rsidR="000436A2" w:rsidRPr="0080104E" w:rsidRDefault="000436A2" w:rsidP="000436A2">
      <w:pPr>
        <w:rPr>
          <w:rFonts w:ascii="Times New Roman" w:hAnsi="Times New Roman" w:cs="Times New Roman"/>
          <w:sz w:val="24"/>
          <w:szCs w:val="24"/>
        </w:rPr>
      </w:pPr>
      <w:r w:rsidRPr="0080104E">
        <w:rPr>
          <w:rFonts w:ascii="Times New Roman" w:hAnsi="Times New Roman" w:cs="Times New Roman"/>
          <w:sz w:val="24"/>
          <w:szCs w:val="24"/>
        </w:rPr>
        <w:lastRenderedPageBreak/>
        <w:t>_______</w:t>
      </w:r>
      <w:r>
        <w:rPr>
          <w:rFonts w:ascii="Times New Roman" w:hAnsi="Times New Roman" w:cs="Times New Roman"/>
          <w:sz w:val="24"/>
          <w:szCs w:val="24"/>
        </w:rPr>
        <w:t>__</w:t>
      </w:r>
      <w:r w:rsidRPr="0080104E">
        <w:rPr>
          <w:rFonts w:ascii="Times New Roman" w:hAnsi="Times New Roman" w:cs="Times New Roman"/>
          <w:sz w:val="24"/>
          <w:szCs w:val="24"/>
        </w:rPr>
        <w:t xml:space="preserve">. </w:t>
      </w:r>
      <w:r w:rsidRPr="0080104E">
        <w:rPr>
          <w:rFonts w:ascii="Times New Roman" w:hAnsi="Times New Roman" w:cs="Times New Roman"/>
          <w:b/>
          <w:sz w:val="24"/>
          <w:szCs w:val="24"/>
        </w:rPr>
        <w:t>Renewable Fuel Standard Program (RFS2) Regulatory Impact Analysis</w:t>
      </w:r>
      <w:r w:rsidRPr="0080104E">
        <w:rPr>
          <w:rFonts w:ascii="Times New Roman" w:hAnsi="Times New Roman" w:cs="Times New Roman"/>
          <w:sz w:val="24"/>
          <w:szCs w:val="24"/>
        </w:rPr>
        <w:t>. Estados Unidos, 2010b.</w:t>
      </w:r>
    </w:p>
    <w:p w:rsidR="000436A2" w:rsidRPr="004C6D64" w:rsidRDefault="000436A2" w:rsidP="000436A2">
      <w:pPr>
        <w:rPr>
          <w:rFonts w:ascii="Times New Roman" w:hAnsi="Times New Roman" w:cs="Times New Roman"/>
          <w:sz w:val="24"/>
          <w:szCs w:val="24"/>
        </w:rPr>
      </w:pPr>
    </w:p>
    <w:p w:rsidR="000436A2" w:rsidRDefault="000436A2" w:rsidP="000436A2">
      <w:pPr>
        <w:rPr>
          <w:rFonts w:ascii="Times New Roman" w:hAnsi="Times New Roman" w:cs="Times New Roman"/>
          <w:sz w:val="24"/>
          <w:szCs w:val="24"/>
        </w:rPr>
      </w:pPr>
      <w:r>
        <w:rPr>
          <w:rFonts w:ascii="Times New Roman" w:hAnsi="Times New Roman" w:cs="Times New Roman"/>
          <w:b/>
          <w:sz w:val="24"/>
          <w:szCs w:val="24"/>
          <w:lang w:val="en-US"/>
        </w:rPr>
        <w:softHyphen/>
      </w:r>
      <w:r w:rsidRPr="00AB6E7C">
        <w:rPr>
          <w:rFonts w:ascii="Times New Roman" w:hAnsi="Times New Roman" w:cs="Times New Roman"/>
          <w:sz w:val="24"/>
          <w:szCs w:val="24"/>
          <w:lang w:val="en-US"/>
        </w:rPr>
        <w:t>_______</w:t>
      </w:r>
      <w:r>
        <w:rPr>
          <w:rFonts w:ascii="Times New Roman" w:hAnsi="Times New Roman" w:cs="Times New Roman"/>
          <w:sz w:val="24"/>
          <w:szCs w:val="24"/>
          <w:lang w:val="en-US"/>
        </w:rPr>
        <w:t>__</w:t>
      </w:r>
      <w:r w:rsidRPr="00AB6E7C">
        <w:rPr>
          <w:rFonts w:ascii="Times New Roman" w:hAnsi="Times New Roman" w:cs="Times New Roman"/>
          <w:sz w:val="24"/>
          <w:szCs w:val="24"/>
          <w:lang w:val="en-US"/>
        </w:rPr>
        <w:t>.</w:t>
      </w:r>
      <w:r>
        <w:rPr>
          <w:rFonts w:ascii="Times New Roman" w:hAnsi="Times New Roman" w:cs="Times New Roman"/>
          <w:b/>
          <w:sz w:val="24"/>
          <w:szCs w:val="24"/>
          <w:lang w:val="en-US"/>
        </w:rPr>
        <w:t xml:space="preserve"> </w:t>
      </w:r>
      <w:r w:rsidRPr="00D9472A">
        <w:rPr>
          <w:rFonts w:ascii="Times New Roman" w:hAnsi="Times New Roman" w:cs="Times New Roman"/>
          <w:b/>
          <w:sz w:val="24"/>
          <w:szCs w:val="24"/>
          <w:lang w:val="en-US"/>
        </w:rPr>
        <w:t>Direct Final Rule for Additional Qualifying Renewable Fuel Pathways under the RFS2 Program</w:t>
      </w:r>
      <w:r>
        <w:rPr>
          <w:rFonts w:ascii="Times New Roman" w:hAnsi="Times New Roman" w:cs="Times New Roman"/>
          <w:sz w:val="24"/>
          <w:szCs w:val="24"/>
          <w:lang w:val="en-US"/>
        </w:rPr>
        <w:t xml:space="preserve">. </w:t>
      </w:r>
      <w:r w:rsidRPr="00C5427C">
        <w:rPr>
          <w:rFonts w:ascii="Times New Roman" w:hAnsi="Times New Roman" w:cs="Times New Roman"/>
          <w:sz w:val="24"/>
          <w:szCs w:val="24"/>
        </w:rPr>
        <w:t>Estados Unidos, 2011.</w:t>
      </w:r>
    </w:p>
    <w:p w:rsidR="00C60BE2" w:rsidRDefault="00C60BE2" w:rsidP="000436A2">
      <w:pPr>
        <w:rPr>
          <w:rFonts w:ascii="Times New Roman" w:hAnsi="Times New Roman" w:cs="Times New Roman"/>
          <w:sz w:val="24"/>
          <w:szCs w:val="24"/>
        </w:rPr>
      </w:pPr>
    </w:p>
    <w:p w:rsidR="00C60BE2" w:rsidRPr="00C60BE2" w:rsidRDefault="00C60BE2" w:rsidP="000436A2">
      <w:pPr>
        <w:rPr>
          <w:rFonts w:ascii="Times New Roman" w:hAnsi="Times New Roman" w:cs="Times New Roman"/>
          <w:sz w:val="24"/>
          <w:szCs w:val="24"/>
        </w:rPr>
      </w:pPr>
      <w:r w:rsidRPr="00756A9D">
        <w:rPr>
          <w:rFonts w:ascii="Times New Roman" w:hAnsi="Times New Roman" w:cs="Times New Roman"/>
          <w:sz w:val="24"/>
          <w:szCs w:val="24"/>
        </w:rPr>
        <w:t xml:space="preserve">_________. </w:t>
      </w:r>
      <w:r w:rsidRPr="00756A9D">
        <w:rPr>
          <w:rFonts w:ascii="Times New Roman" w:hAnsi="Times New Roman" w:cs="Times New Roman"/>
          <w:b/>
          <w:sz w:val="24"/>
          <w:szCs w:val="24"/>
        </w:rPr>
        <w:t>Renewable Fuel Standard</w:t>
      </w:r>
      <w:r w:rsidRPr="00756A9D">
        <w:rPr>
          <w:rFonts w:ascii="Times New Roman" w:hAnsi="Times New Roman" w:cs="Times New Roman"/>
          <w:sz w:val="24"/>
          <w:szCs w:val="24"/>
        </w:rPr>
        <w:t xml:space="preserve">: Regulations and Standards. </w:t>
      </w:r>
      <w:r w:rsidRPr="00C60BE2">
        <w:rPr>
          <w:rFonts w:ascii="Times New Roman" w:hAnsi="Times New Roman" w:cs="Times New Roman"/>
          <w:sz w:val="24"/>
          <w:szCs w:val="24"/>
        </w:rPr>
        <w:t>Pá</w:t>
      </w:r>
      <w:r>
        <w:rPr>
          <w:rFonts w:ascii="Times New Roman" w:hAnsi="Times New Roman" w:cs="Times New Roman"/>
          <w:sz w:val="24"/>
          <w:szCs w:val="24"/>
        </w:rPr>
        <w:t>gina da internet.</w:t>
      </w:r>
      <w:r w:rsidRPr="00C60BE2">
        <w:rPr>
          <w:rFonts w:ascii="Times New Roman" w:hAnsi="Times New Roman" w:cs="Times New Roman"/>
          <w:sz w:val="24"/>
          <w:szCs w:val="24"/>
        </w:rPr>
        <w:t xml:space="preserve"> Disponível em: </w:t>
      </w:r>
      <w:hyperlink r:id="rId40" w:history="1">
        <w:r w:rsidRPr="00C60BE2">
          <w:rPr>
            <w:rStyle w:val="Hyperlink"/>
            <w:rFonts w:ascii="Times New Roman" w:hAnsi="Times New Roman" w:cs="Times New Roman"/>
            <w:sz w:val="24"/>
            <w:szCs w:val="24"/>
          </w:rPr>
          <w:t>http://epa.gov/otaq/fuels/renewablefuels/index.htm</w:t>
        </w:r>
      </w:hyperlink>
      <w:r w:rsidRPr="00C60BE2">
        <w:rPr>
          <w:rFonts w:ascii="Times New Roman" w:hAnsi="Times New Roman" w:cs="Times New Roman"/>
          <w:sz w:val="24"/>
          <w:szCs w:val="24"/>
        </w:rPr>
        <w:t>. Acesso em 28 jun. 2012.</w:t>
      </w:r>
    </w:p>
    <w:p w:rsidR="000436A2" w:rsidRPr="00C60BE2" w:rsidRDefault="000436A2" w:rsidP="000436A2">
      <w:pPr>
        <w:rPr>
          <w:rFonts w:ascii="Times New Roman" w:hAnsi="Times New Roman" w:cs="Times New Roman"/>
          <w:sz w:val="24"/>
          <w:szCs w:val="24"/>
        </w:rPr>
      </w:pPr>
    </w:p>
    <w:p w:rsidR="000436A2" w:rsidRPr="007C34FF" w:rsidRDefault="000436A2" w:rsidP="000436A2">
      <w:pPr>
        <w:spacing w:after="240"/>
        <w:rPr>
          <w:rFonts w:ascii="Times New Roman" w:hAnsi="Times New Roman" w:cs="Times New Roman"/>
          <w:sz w:val="24"/>
          <w:szCs w:val="24"/>
          <w:lang w:val="en-US"/>
        </w:rPr>
      </w:pPr>
      <w:r>
        <w:rPr>
          <w:rFonts w:ascii="Times New Roman" w:hAnsi="Times New Roman" w:cs="Times New Roman"/>
          <w:sz w:val="24"/>
          <w:szCs w:val="24"/>
        </w:rPr>
        <w:t xml:space="preserve">EPE. Empresa de Pesquisa Energética. </w:t>
      </w:r>
      <w:r w:rsidRPr="00AD64E1">
        <w:rPr>
          <w:rFonts w:ascii="Times New Roman" w:hAnsi="Times New Roman" w:cs="Times New Roman"/>
          <w:b/>
          <w:sz w:val="24"/>
          <w:szCs w:val="24"/>
        </w:rPr>
        <w:t>Análise de Conjuntura dos Biocombustíveis</w:t>
      </w:r>
      <w:r>
        <w:rPr>
          <w:rFonts w:ascii="Times New Roman" w:hAnsi="Times New Roman" w:cs="Times New Roman"/>
          <w:sz w:val="24"/>
          <w:szCs w:val="24"/>
        </w:rPr>
        <w:t xml:space="preserve">. </w:t>
      </w:r>
      <w:r w:rsidRPr="007C34FF">
        <w:rPr>
          <w:rFonts w:ascii="Times New Roman" w:hAnsi="Times New Roman" w:cs="Times New Roman"/>
          <w:sz w:val="24"/>
          <w:szCs w:val="24"/>
          <w:lang w:val="en-US"/>
        </w:rPr>
        <w:t>Rio de Janeiro, 2010.</w:t>
      </w:r>
    </w:p>
    <w:p w:rsidR="000436A2" w:rsidRDefault="000436A2" w:rsidP="000436A2">
      <w:pPr>
        <w:spacing w:after="240"/>
        <w:rPr>
          <w:rFonts w:ascii="Times New Roman" w:hAnsi="Times New Roman" w:cs="Times New Roman"/>
          <w:sz w:val="24"/>
          <w:szCs w:val="24"/>
        </w:rPr>
      </w:pPr>
      <w:r w:rsidRPr="008A032A">
        <w:rPr>
          <w:rFonts w:ascii="Times New Roman" w:hAnsi="Times New Roman" w:cs="Times New Roman"/>
          <w:sz w:val="24"/>
          <w:szCs w:val="24"/>
          <w:lang w:val="en-US"/>
        </w:rPr>
        <w:t>EVANS, J. Improving and removing pr</w:t>
      </w:r>
      <w:r>
        <w:rPr>
          <w:rFonts w:ascii="Times New Roman" w:hAnsi="Times New Roman" w:cs="Times New Roman"/>
          <w:sz w:val="24"/>
          <w:szCs w:val="24"/>
          <w:lang w:val="en-US"/>
        </w:rPr>
        <w:t>e</w:t>
      </w:r>
      <w:r w:rsidRPr="008A032A">
        <w:rPr>
          <w:rFonts w:ascii="Times New Roman" w:hAnsi="Times New Roman" w:cs="Times New Roman"/>
          <w:sz w:val="24"/>
          <w:szCs w:val="24"/>
          <w:lang w:val="en-US"/>
        </w:rPr>
        <w:t>-treatment</w:t>
      </w:r>
      <w:r>
        <w:rPr>
          <w:rFonts w:ascii="Times New Roman" w:hAnsi="Times New Roman" w:cs="Times New Roman"/>
          <w:sz w:val="24"/>
          <w:szCs w:val="24"/>
          <w:lang w:val="en-US"/>
        </w:rPr>
        <w:t xml:space="preserve">. Biofuels, </w:t>
      </w:r>
      <w:r w:rsidRPr="001B12A8">
        <w:rPr>
          <w:rFonts w:ascii="Times New Roman" w:hAnsi="Times New Roman" w:cs="Times New Roman"/>
          <w:b/>
          <w:sz w:val="24"/>
          <w:szCs w:val="24"/>
          <w:lang w:val="en-US"/>
        </w:rPr>
        <w:t>Bioproducts and Biorefining</w:t>
      </w:r>
      <w:r>
        <w:rPr>
          <w:rFonts w:ascii="Times New Roman" w:hAnsi="Times New Roman" w:cs="Times New Roman"/>
          <w:sz w:val="24"/>
          <w:szCs w:val="24"/>
          <w:lang w:val="en-US"/>
        </w:rPr>
        <w:t xml:space="preserve">, v.6, n.1, 2012. </w:t>
      </w:r>
      <w:r w:rsidRPr="008A032A">
        <w:rPr>
          <w:rFonts w:ascii="Times New Roman" w:hAnsi="Times New Roman" w:cs="Times New Roman"/>
          <w:sz w:val="24"/>
          <w:szCs w:val="24"/>
        </w:rPr>
        <w:t xml:space="preserve">Disponível em: </w:t>
      </w:r>
      <w:hyperlink r:id="rId41" w:history="1">
        <w:r w:rsidRPr="009B6513">
          <w:rPr>
            <w:rStyle w:val="Hyperlink"/>
            <w:rFonts w:ascii="Times New Roman" w:hAnsi="Times New Roman"/>
            <w:sz w:val="24"/>
            <w:szCs w:val="24"/>
          </w:rPr>
          <w:t>http://onlinelibrary.wiley.com/doi/10. 1002/bbb.354/pdf</w:t>
        </w:r>
      </w:hyperlink>
      <w:r w:rsidRPr="008A032A">
        <w:rPr>
          <w:rFonts w:ascii="Times New Roman" w:hAnsi="Times New Roman" w:cs="Times New Roman"/>
          <w:sz w:val="24"/>
          <w:szCs w:val="24"/>
        </w:rPr>
        <w:t>.</w:t>
      </w:r>
      <w:r>
        <w:rPr>
          <w:rFonts w:ascii="Times New Roman" w:hAnsi="Times New Roman" w:cs="Times New Roman"/>
          <w:sz w:val="24"/>
          <w:szCs w:val="24"/>
        </w:rPr>
        <w:t xml:space="preserve"> Acesso em 03 mai. 2012.</w:t>
      </w:r>
    </w:p>
    <w:p w:rsidR="000436A2" w:rsidRPr="00FD701C" w:rsidRDefault="000436A2" w:rsidP="000436A2">
      <w:pPr>
        <w:rPr>
          <w:rFonts w:ascii="Times New Roman" w:hAnsi="Times New Roman" w:cs="Times New Roman"/>
          <w:sz w:val="24"/>
          <w:szCs w:val="24"/>
          <w:lang w:val="en-US"/>
        </w:rPr>
      </w:pPr>
      <w:r>
        <w:rPr>
          <w:rFonts w:ascii="Times New Roman" w:hAnsi="Times New Roman" w:cs="Times New Roman"/>
          <w:sz w:val="24"/>
          <w:szCs w:val="24"/>
        </w:rPr>
        <w:t>EVANS, P</w:t>
      </w:r>
      <w:r w:rsidRPr="00C55733">
        <w:rPr>
          <w:rFonts w:ascii="Times New Roman" w:hAnsi="Times New Roman" w:cs="Times New Roman"/>
          <w:sz w:val="24"/>
          <w:szCs w:val="24"/>
        </w:rPr>
        <w:t xml:space="preserve">. </w:t>
      </w:r>
      <w:r w:rsidRPr="00C652C8">
        <w:rPr>
          <w:rFonts w:ascii="Times New Roman" w:hAnsi="Times New Roman" w:cs="Times New Roman"/>
          <w:b/>
          <w:sz w:val="24"/>
          <w:szCs w:val="24"/>
        </w:rPr>
        <w:t>Autonomia e parceria: Estados e transformação industrial</w:t>
      </w:r>
      <w:r w:rsidRPr="00C55733">
        <w:rPr>
          <w:rFonts w:ascii="Times New Roman" w:hAnsi="Times New Roman" w:cs="Times New Roman"/>
          <w:sz w:val="24"/>
          <w:szCs w:val="24"/>
        </w:rPr>
        <w:t xml:space="preserve">. </w:t>
      </w:r>
      <w:r w:rsidRPr="00FD701C">
        <w:rPr>
          <w:rFonts w:ascii="Times New Roman" w:hAnsi="Times New Roman" w:cs="Times New Roman"/>
          <w:sz w:val="24"/>
          <w:szCs w:val="24"/>
          <w:lang w:val="en-US"/>
        </w:rPr>
        <w:t>Rio de Janeiro: UFRJ, 2004.</w:t>
      </w:r>
    </w:p>
    <w:p w:rsidR="000436A2" w:rsidRPr="00FD701C" w:rsidRDefault="000436A2" w:rsidP="000436A2">
      <w:pPr>
        <w:rPr>
          <w:rFonts w:ascii="Times New Roman" w:hAnsi="Times New Roman" w:cs="Times New Roman"/>
          <w:sz w:val="24"/>
          <w:szCs w:val="24"/>
          <w:lang w:val="en-US"/>
        </w:rPr>
      </w:pPr>
    </w:p>
    <w:p w:rsidR="000436A2" w:rsidRDefault="000436A2" w:rsidP="000436A2">
      <w:pPr>
        <w:rPr>
          <w:rFonts w:ascii="Times New Roman" w:hAnsi="Times New Roman" w:cs="Times New Roman"/>
          <w:sz w:val="24"/>
          <w:szCs w:val="24"/>
        </w:rPr>
      </w:pPr>
      <w:r w:rsidRPr="00A53C38">
        <w:rPr>
          <w:rFonts w:ascii="Times New Roman" w:hAnsi="Times New Roman" w:cs="Times New Roman"/>
          <w:caps/>
          <w:sz w:val="24"/>
          <w:szCs w:val="24"/>
          <w:lang w:val="en-US"/>
        </w:rPr>
        <w:t>Fargione J.; Hill J</w:t>
      </w:r>
      <w:r>
        <w:rPr>
          <w:rFonts w:ascii="Times New Roman" w:hAnsi="Times New Roman" w:cs="Times New Roman"/>
          <w:caps/>
          <w:sz w:val="24"/>
          <w:szCs w:val="24"/>
          <w:lang w:val="en-US"/>
        </w:rPr>
        <w:t>.;</w:t>
      </w:r>
      <w:r w:rsidRPr="00A53C38">
        <w:rPr>
          <w:rFonts w:ascii="Times New Roman" w:hAnsi="Times New Roman" w:cs="Times New Roman"/>
          <w:caps/>
          <w:sz w:val="24"/>
          <w:szCs w:val="24"/>
          <w:lang w:val="en-US"/>
        </w:rPr>
        <w:t xml:space="preserve"> Tilman D</w:t>
      </w:r>
      <w:r>
        <w:rPr>
          <w:rFonts w:ascii="Times New Roman" w:hAnsi="Times New Roman" w:cs="Times New Roman"/>
          <w:caps/>
          <w:sz w:val="24"/>
          <w:szCs w:val="24"/>
          <w:lang w:val="en-US"/>
        </w:rPr>
        <w:t>.;</w:t>
      </w:r>
      <w:r w:rsidRPr="00A53C38">
        <w:rPr>
          <w:rFonts w:ascii="Times New Roman" w:hAnsi="Times New Roman" w:cs="Times New Roman"/>
          <w:caps/>
          <w:sz w:val="24"/>
          <w:szCs w:val="24"/>
          <w:lang w:val="en-US"/>
        </w:rPr>
        <w:t xml:space="preserve"> Polasky S.; Hawthorne P</w:t>
      </w:r>
      <w:r>
        <w:rPr>
          <w:rFonts w:ascii="Times New Roman" w:hAnsi="Times New Roman" w:cs="Times New Roman"/>
          <w:sz w:val="24"/>
          <w:szCs w:val="24"/>
          <w:lang w:val="en-US"/>
        </w:rPr>
        <w:t xml:space="preserve">. Clearing land </w:t>
      </w:r>
      <w:r w:rsidRPr="00A53C38">
        <w:rPr>
          <w:rFonts w:ascii="Times New Roman" w:hAnsi="Times New Roman" w:cs="Times New Roman"/>
          <w:sz w:val="24"/>
          <w:szCs w:val="24"/>
          <w:lang w:val="en-US"/>
        </w:rPr>
        <w:t>and the biofuel carb</w:t>
      </w:r>
      <w:r>
        <w:rPr>
          <w:rFonts w:ascii="Times New Roman" w:hAnsi="Times New Roman" w:cs="Times New Roman"/>
          <w:sz w:val="24"/>
          <w:szCs w:val="24"/>
          <w:lang w:val="en-US"/>
        </w:rPr>
        <w:t xml:space="preserve">on debt. </w:t>
      </w:r>
      <w:r w:rsidRPr="006A1FB3">
        <w:rPr>
          <w:rFonts w:ascii="Times New Roman" w:hAnsi="Times New Roman" w:cs="Times New Roman"/>
          <w:b/>
          <w:sz w:val="24"/>
          <w:szCs w:val="24"/>
        </w:rPr>
        <w:t>Science</w:t>
      </w:r>
      <w:r>
        <w:rPr>
          <w:rFonts w:ascii="Times New Roman" w:hAnsi="Times New Roman" w:cs="Times New Roman"/>
          <w:sz w:val="24"/>
          <w:szCs w:val="24"/>
        </w:rPr>
        <w:t>, v</w:t>
      </w:r>
      <w:r w:rsidRPr="006A1FB3">
        <w:rPr>
          <w:rFonts w:ascii="Times New Roman" w:hAnsi="Times New Roman" w:cs="Times New Roman"/>
          <w:sz w:val="24"/>
          <w:szCs w:val="24"/>
        </w:rPr>
        <w:t>. 319,</w:t>
      </w:r>
      <w:r w:rsidRPr="001A572F">
        <w:rPr>
          <w:rFonts w:ascii="Times New Roman" w:hAnsi="Times New Roman" w:cs="Times New Roman"/>
          <w:sz w:val="24"/>
          <w:szCs w:val="24"/>
        </w:rPr>
        <w:t xml:space="preserve"> </w:t>
      </w:r>
      <w:r>
        <w:rPr>
          <w:rFonts w:ascii="Times New Roman" w:hAnsi="Times New Roman" w:cs="Times New Roman"/>
          <w:sz w:val="24"/>
          <w:szCs w:val="24"/>
        </w:rPr>
        <w:t>p. 1235–1238,</w:t>
      </w:r>
      <w:r w:rsidRPr="006A1FB3">
        <w:rPr>
          <w:rFonts w:ascii="Times New Roman" w:hAnsi="Times New Roman" w:cs="Times New Roman"/>
          <w:sz w:val="24"/>
          <w:szCs w:val="24"/>
        </w:rPr>
        <w:t xml:space="preserve"> </w:t>
      </w:r>
      <w:r>
        <w:rPr>
          <w:rFonts w:ascii="Times New Roman" w:hAnsi="Times New Roman" w:cs="Times New Roman"/>
          <w:sz w:val="24"/>
          <w:szCs w:val="24"/>
        </w:rPr>
        <w:t>2008</w:t>
      </w:r>
      <w:r w:rsidRPr="006A1FB3">
        <w:rPr>
          <w:rFonts w:ascii="Times New Roman" w:hAnsi="Times New Roman" w:cs="Times New Roman"/>
          <w:sz w:val="24"/>
          <w:szCs w:val="24"/>
        </w:rPr>
        <w:t>.</w:t>
      </w:r>
    </w:p>
    <w:p w:rsidR="000436A2" w:rsidRDefault="000436A2" w:rsidP="000436A2">
      <w:pPr>
        <w:rPr>
          <w:rFonts w:ascii="Times New Roman" w:hAnsi="Times New Roman" w:cs="Times New Roman"/>
          <w:sz w:val="24"/>
          <w:szCs w:val="24"/>
        </w:rPr>
      </w:pPr>
    </w:p>
    <w:p w:rsidR="000436A2" w:rsidRDefault="000436A2" w:rsidP="000436A2">
      <w:pPr>
        <w:rPr>
          <w:rFonts w:ascii="Times New Roman" w:hAnsi="Times New Roman" w:cs="Times New Roman"/>
          <w:sz w:val="24"/>
          <w:szCs w:val="24"/>
        </w:rPr>
      </w:pPr>
      <w:r w:rsidRPr="00C55733">
        <w:rPr>
          <w:rFonts w:ascii="Times New Roman" w:hAnsi="Times New Roman" w:cs="Times New Roman"/>
          <w:sz w:val="24"/>
          <w:szCs w:val="24"/>
        </w:rPr>
        <w:t xml:space="preserve">FIANI, R. </w:t>
      </w:r>
      <w:r w:rsidRPr="00C55733">
        <w:rPr>
          <w:rFonts w:ascii="Times New Roman" w:hAnsi="Times New Roman" w:cs="Times New Roman"/>
          <w:b/>
          <w:sz w:val="24"/>
          <w:szCs w:val="24"/>
        </w:rPr>
        <w:t>Cooperação e conflito: instituições e desenvolvimento econômico</w:t>
      </w:r>
      <w:r w:rsidRPr="00C55733">
        <w:rPr>
          <w:rFonts w:ascii="Times New Roman" w:hAnsi="Times New Roman" w:cs="Times New Roman"/>
          <w:sz w:val="24"/>
          <w:szCs w:val="24"/>
        </w:rPr>
        <w:t xml:space="preserve">. </w:t>
      </w:r>
      <w:r w:rsidRPr="00F87468">
        <w:rPr>
          <w:rFonts w:ascii="Times New Roman" w:hAnsi="Times New Roman" w:cs="Times New Roman"/>
          <w:sz w:val="24"/>
          <w:szCs w:val="24"/>
        </w:rPr>
        <w:t>Rio de Janeiro: Elsevier, 2011.</w:t>
      </w:r>
    </w:p>
    <w:p w:rsidR="000436A2" w:rsidRPr="00F87468" w:rsidRDefault="000436A2" w:rsidP="000436A2">
      <w:pPr>
        <w:rPr>
          <w:rFonts w:ascii="Times New Roman" w:hAnsi="Times New Roman" w:cs="Times New Roman"/>
          <w:sz w:val="24"/>
          <w:szCs w:val="24"/>
        </w:rPr>
      </w:pPr>
    </w:p>
    <w:p w:rsidR="000436A2" w:rsidRDefault="000436A2" w:rsidP="000436A2">
      <w:pPr>
        <w:rPr>
          <w:rFonts w:ascii="Times New Roman" w:hAnsi="Times New Roman" w:cs="Times New Roman"/>
          <w:sz w:val="24"/>
          <w:szCs w:val="24"/>
          <w:lang w:val="en-US"/>
        </w:rPr>
      </w:pPr>
      <w:r w:rsidRPr="00FB5785">
        <w:rPr>
          <w:rFonts w:ascii="Times New Roman" w:hAnsi="Times New Roman" w:cs="Times New Roman"/>
          <w:sz w:val="24"/>
          <w:szCs w:val="24"/>
        </w:rPr>
        <w:t xml:space="preserve">GADELHA, C. A. G. Política industrial: uma visão neo-schumpeteriana sistêmica e estrutural. </w:t>
      </w:r>
      <w:r w:rsidRPr="00C652C8">
        <w:rPr>
          <w:rFonts w:ascii="Times New Roman" w:hAnsi="Times New Roman" w:cs="Times New Roman"/>
          <w:b/>
          <w:sz w:val="24"/>
          <w:szCs w:val="24"/>
          <w:lang w:val="en-US"/>
        </w:rPr>
        <w:t>Revista de Economia Política</w:t>
      </w:r>
      <w:r>
        <w:rPr>
          <w:rFonts w:ascii="Times New Roman" w:hAnsi="Times New Roman" w:cs="Times New Roman"/>
          <w:sz w:val="24"/>
          <w:szCs w:val="24"/>
          <w:lang w:val="en-US"/>
        </w:rPr>
        <w:t>, v. 21, n. 4, out./d</w:t>
      </w:r>
      <w:r w:rsidRPr="00C652C8">
        <w:rPr>
          <w:rFonts w:ascii="Times New Roman" w:hAnsi="Times New Roman" w:cs="Times New Roman"/>
          <w:sz w:val="24"/>
          <w:szCs w:val="24"/>
          <w:lang w:val="en-US"/>
        </w:rPr>
        <w:t>ez. 2001.</w:t>
      </w:r>
    </w:p>
    <w:p w:rsidR="000436A2" w:rsidRDefault="000436A2" w:rsidP="000436A2">
      <w:pPr>
        <w:rPr>
          <w:rFonts w:ascii="Times New Roman" w:hAnsi="Times New Roman" w:cs="Times New Roman"/>
          <w:sz w:val="24"/>
          <w:szCs w:val="24"/>
          <w:lang w:val="en-US"/>
        </w:rPr>
      </w:pPr>
    </w:p>
    <w:p w:rsidR="000436A2" w:rsidRDefault="000436A2" w:rsidP="000436A2">
      <w:pPr>
        <w:rPr>
          <w:rStyle w:val="Forte"/>
          <w:rFonts w:ascii="Times New Roman" w:hAnsi="Times New Roman"/>
          <w:sz w:val="24"/>
          <w:szCs w:val="24"/>
          <w:lang w:val="en-US"/>
        </w:rPr>
      </w:pPr>
      <w:r w:rsidRPr="000739EC">
        <w:rPr>
          <w:rFonts w:ascii="Times New Roman" w:hAnsi="Times New Roman" w:cs="Times New Roman"/>
          <w:sz w:val="24"/>
          <w:szCs w:val="24"/>
          <w:lang w:val="en-US"/>
        </w:rPr>
        <w:t>GEELS, F.</w:t>
      </w:r>
      <w:r w:rsidRPr="000739EC">
        <w:rPr>
          <w:rFonts w:ascii="Times New Roman" w:hAnsi="Times New Roman"/>
          <w:sz w:val="24"/>
          <w:szCs w:val="24"/>
          <w:lang w:val="en-US"/>
        </w:rPr>
        <w:t xml:space="preserve"> </w:t>
      </w:r>
      <w:r>
        <w:rPr>
          <w:rFonts w:ascii="Times New Roman" w:hAnsi="Times New Roman"/>
          <w:sz w:val="24"/>
          <w:szCs w:val="24"/>
          <w:lang w:val="en-US"/>
        </w:rPr>
        <w:t xml:space="preserve">W. </w:t>
      </w:r>
      <w:r w:rsidRPr="000739EC">
        <w:rPr>
          <w:rFonts w:ascii="Times New Roman" w:hAnsi="Times New Roman"/>
          <w:sz w:val="24"/>
          <w:szCs w:val="24"/>
          <w:lang w:val="en-US"/>
        </w:rPr>
        <w:t>Understanding system innovations: a critical literature review and a conceptual synthesis.</w:t>
      </w:r>
      <w:r w:rsidRPr="005F084B">
        <w:rPr>
          <w:rStyle w:val="Forte"/>
          <w:rFonts w:ascii="Times New Roman" w:hAnsi="Times New Roman"/>
          <w:sz w:val="24"/>
          <w:szCs w:val="24"/>
          <w:lang w:val="en-US"/>
        </w:rPr>
        <w:t xml:space="preserve"> </w:t>
      </w:r>
      <w:r w:rsidRPr="00BD38C9">
        <w:rPr>
          <w:rStyle w:val="Forte"/>
          <w:rFonts w:ascii="Times New Roman" w:hAnsi="Times New Roman"/>
          <w:sz w:val="24"/>
          <w:szCs w:val="24"/>
          <w:lang w:val="en-US"/>
        </w:rPr>
        <w:t>In Elzen, B., Geels, F.W. &amp; Green, K. (Eds.), System Innovation and the Transition to Sustainability</w:t>
      </w:r>
      <w:r>
        <w:rPr>
          <w:rStyle w:val="Forte"/>
          <w:rFonts w:ascii="Times New Roman" w:hAnsi="Times New Roman"/>
          <w:sz w:val="24"/>
          <w:szCs w:val="24"/>
          <w:lang w:val="en-US"/>
        </w:rPr>
        <w:t>.</w:t>
      </w:r>
      <w:r w:rsidRPr="00BD38C9">
        <w:rPr>
          <w:rStyle w:val="Forte"/>
          <w:rFonts w:ascii="Times New Roman" w:hAnsi="Times New Roman"/>
          <w:sz w:val="24"/>
          <w:szCs w:val="24"/>
          <w:lang w:val="en-US"/>
        </w:rPr>
        <w:t xml:space="preserve"> Cheltenham: Edward Elgar Publishing Limited, 2004</w:t>
      </w:r>
      <w:r>
        <w:rPr>
          <w:rStyle w:val="Forte"/>
          <w:rFonts w:ascii="Times New Roman" w:hAnsi="Times New Roman"/>
          <w:sz w:val="24"/>
          <w:szCs w:val="24"/>
          <w:lang w:val="en-US"/>
        </w:rPr>
        <w:t>, p. 48-75</w:t>
      </w:r>
      <w:r w:rsidRPr="00BD38C9">
        <w:rPr>
          <w:rStyle w:val="Forte"/>
          <w:rFonts w:ascii="Times New Roman" w:hAnsi="Times New Roman"/>
          <w:sz w:val="24"/>
          <w:szCs w:val="24"/>
          <w:lang w:val="en-US"/>
        </w:rPr>
        <w:t>.</w:t>
      </w:r>
    </w:p>
    <w:p w:rsidR="000436A2" w:rsidRPr="00C652C8" w:rsidRDefault="000436A2" w:rsidP="000436A2">
      <w:pPr>
        <w:rPr>
          <w:rStyle w:val="Forte"/>
          <w:rFonts w:ascii="Times New Roman" w:hAnsi="Times New Roman"/>
          <w:b w:val="0"/>
          <w:bCs w:val="0"/>
          <w:sz w:val="24"/>
          <w:szCs w:val="24"/>
          <w:lang w:val="en-US"/>
        </w:rPr>
      </w:pPr>
    </w:p>
    <w:p w:rsidR="000436A2" w:rsidRDefault="000436A2" w:rsidP="000436A2">
      <w:pPr>
        <w:rPr>
          <w:rFonts w:ascii="Times New Roman" w:hAnsi="Times New Roman" w:cs="Times New Roman"/>
          <w:sz w:val="24"/>
          <w:szCs w:val="24"/>
        </w:rPr>
      </w:pPr>
      <w:r>
        <w:rPr>
          <w:rFonts w:ascii="Times New Roman" w:hAnsi="Times New Roman" w:cs="Times New Roman"/>
          <w:sz w:val="24"/>
          <w:szCs w:val="24"/>
          <w:lang w:val="en-US"/>
        </w:rPr>
        <w:t>________</w:t>
      </w:r>
      <w:r w:rsidRPr="00CD04E3">
        <w:rPr>
          <w:rFonts w:ascii="Times New Roman" w:hAnsi="Times New Roman" w:cs="Times New Roman"/>
          <w:sz w:val="24"/>
          <w:szCs w:val="24"/>
          <w:lang w:val="en-US"/>
        </w:rPr>
        <w:t xml:space="preserve">. </w:t>
      </w:r>
      <w:r w:rsidRPr="00CD04E3">
        <w:rPr>
          <w:rFonts w:ascii="Times New Roman" w:hAnsi="Times New Roman" w:cs="Times New Roman"/>
          <w:b/>
          <w:sz w:val="24"/>
          <w:szCs w:val="24"/>
          <w:lang w:val="en-US"/>
        </w:rPr>
        <w:t>Societal problems (such as sustainability) and a neo-evolutionary theory of industrial change</w:t>
      </w:r>
      <w:r w:rsidRPr="00BD38C9">
        <w:rPr>
          <w:rFonts w:ascii="Times New Roman" w:hAnsi="Times New Roman" w:cs="Times New Roman"/>
          <w:sz w:val="24"/>
          <w:szCs w:val="24"/>
          <w:lang w:val="en-US"/>
        </w:rPr>
        <w:t>:</w:t>
      </w:r>
      <w:r w:rsidRPr="00CD04E3">
        <w:rPr>
          <w:rFonts w:ascii="Times New Roman" w:hAnsi="Times New Roman" w:cs="Times New Roman"/>
          <w:b/>
          <w:sz w:val="24"/>
          <w:szCs w:val="24"/>
          <w:lang w:val="en-US"/>
        </w:rPr>
        <w:t xml:space="preserve"> </w:t>
      </w:r>
      <w:r w:rsidRPr="00BD38C9">
        <w:rPr>
          <w:rFonts w:ascii="Times New Roman" w:hAnsi="Times New Roman" w:cs="Times New Roman"/>
          <w:sz w:val="24"/>
          <w:szCs w:val="24"/>
          <w:lang w:val="en-US"/>
        </w:rPr>
        <w:t>Technology, markets, civil society and polity</w:t>
      </w:r>
      <w:r>
        <w:rPr>
          <w:rFonts w:ascii="Times New Roman" w:hAnsi="Times New Roman" w:cs="Times New Roman"/>
          <w:sz w:val="24"/>
          <w:szCs w:val="24"/>
          <w:lang w:val="en-US"/>
        </w:rPr>
        <w:t xml:space="preserve">. </w:t>
      </w:r>
      <w:r w:rsidRPr="00E32819">
        <w:rPr>
          <w:rFonts w:ascii="Times New Roman" w:hAnsi="Times New Roman" w:cs="Times New Roman"/>
          <w:sz w:val="24"/>
          <w:szCs w:val="24"/>
        </w:rPr>
        <w:t>International Schumpeter Society Conference. Aalborg, 2010.</w:t>
      </w:r>
    </w:p>
    <w:p w:rsidR="000436A2" w:rsidRPr="00A61905" w:rsidRDefault="000436A2" w:rsidP="000436A2">
      <w:pPr>
        <w:rPr>
          <w:rFonts w:ascii="Times New Roman" w:hAnsi="Times New Roman" w:cs="Times New Roman"/>
          <w:sz w:val="24"/>
          <w:szCs w:val="24"/>
        </w:rPr>
      </w:pPr>
    </w:p>
    <w:p w:rsidR="000436A2" w:rsidRDefault="000436A2" w:rsidP="000436A2">
      <w:pPr>
        <w:spacing w:after="240"/>
        <w:rPr>
          <w:rFonts w:ascii="Times New Roman" w:hAnsi="Times New Roman" w:cs="Times New Roman"/>
          <w:sz w:val="24"/>
          <w:szCs w:val="24"/>
        </w:rPr>
      </w:pPr>
      <w:r w:rsidRPr="006F0E4A">
        <w:rPr>
          <w:rFonts w:ascii="Times New Roman" w:hAnsi="Times New Roman" w:cs="Times New Roman"/>
          <w:sz w:val="24"/>
          <w:szCs w:val="24"/>
        </w:rPr>
        <w:t xml:space="preserve">GOMES, K. R. </w:t>
      </w:r>
      <w:r w:rsidRPr="006F0E4A">
        <w:rPr>
          <w:rFonts w:ascii="Times New Roman" w:hAnsi="Times New Roman" w:cs="Times New Roman"/>
          <w:b/>
          <w:sz w:val="24"/>
          <w:szCs w:val="24"/>
        </w:rPr>
        <w:t>Presença Estrangeira na Produção de Commodities: O Caso da Indústria do Etanol no Brasil</w:t>
      </w:r>
      <w:r w:rsidRPr="006F0E4A">
        <w:rPr>
          <w:rFonts w:ascii="Times New Roman" w:hAnsi="Times New Roman" w:cs="Times New Roman"/>
          <w:sz w:val="24"/>
          <w:szCs w:val="24"/>
        </w:rPr>
        <w:t>, Boletim de Economi</w:t>
      </w:r>
      <w:r>
        <w:rPr>
          <w:rFonts w:ascii="Times New Roman" w:hAnsi="Times New Roman" w:cs="Times New Roman"/>
          <w:sz w:val="24"/>
          <w:szCs w:val="24"/>
        </w:rPr>
        <w:t xml:space="preserve">a e Política Internacional, IPEA, n.4, </w:t>
      </w:r>
      <w:r w:rsidRPr="006F0E4A">
        <w:rPr>
          <w:rFonts w:ascii="Times New Roman" w:hAnsi="Times New Roman" w:cs="Times New Roman"/>
          <w:sz w:val="24"/>
          <w:szCs w:val="24"/>
        </w:rPr>
        <w:t>2010.</w:t>
      </w:r>
    </w:p>
    <w:p w:rsidR="00FE04D5" w:rsidRPr="00BD229C" w:rsidRDefault="00FE04D5" w:rsidP="000436A2">
      <w:pPr>
        <w:spacing w:after="240"/>
        <w:rPr>
          <w:rFonts w:ascii="Times New Roman" w:hAnsi="Times New Roman" w:cs="Times New Roman"/>
          <w:sz w:val="24"/>
          <w:szCs w:val="24"/>
        </w:rPr>
      </w:pPr>
      <w:r w:rsidRPr="00FE04D5">
        <w:rPr>
          <w:rFonts w:ascii="Times New Roman" w:hAnsi="Times New Roman" w:cs="Times New Roman"/>
          <w:sz w:val="24"/>
          <w:szCs w:val="24"/>
          <w:lang w:val="en-US"/>
        </w:rPr>
        <w:t>GSI</w:t>
      </w:r>
      <w:r>
        <w:rPr>
          <w:rFonts w:ascii="Times New Roman" w:hAnsi="Times New Roman" w:cs="Times New Roman"/>
          <w:sz w:val="24"/>
          <w:szCs w:val="24"/>
          <w:lang w:val="en-US"/>
        </w:rPr>
        <w:t>; IISD</w:t>
      </w:r>
      <w:r w:rsidRPr="00FE04D5">
        <w:rPr>
          <w:rFonts w:ascii="Times New Roman" w:hAnsi="Times New Roman" w:cs="Times New Roman"/>
          <w:sz w:val="24"/>
          <w:szCs w:val="24"/>
          <w:lang w:val="en-US"/>
        </w:rPr>
        <w:t>. Global Subsidies In</w:t>
      </w:r>
      <w:r>
        <w:rPr>
          <w:rFonts w:ascii="Times New Roman" w:hAnsi="Times New Roman" w:cs="Times New Roman"/>
          <w:sz w:val="24"/>
          <w:szCs w:val="24"/>
          <w:lang w:val="en-US"/>
        </w:rPr>
        <w:t xml:space="preserve">itiative; International Institute for Sustainable Development. </w:t>
      </w:r>
      <w:r w:rsidRPr="00FE04D5">
        <w:rPr>
          <w:rFonts w:ascii="Times New Roman" w:hAnsi="Times New Roman" w:cs="Times New Roman"/>
          <w:b/>
          <w:sz w:val="24"/>
          <w:szCs w:val="24"/>
          <w:lang w:val="en-US"/>
        </w:rPr>
        <w:t>State of play on biofuels subsidies</w:t>
      </w:r>
      <w:r>
        <w:rPr>
          <w:rFonts w:ascii="Times New Roman" w:hAnsi="Times New Roman" w:cs="Times New Roman"/>
          <w:sz w:val="24"/>
          <w:szCs w:val="24"/>
          <w:lang w:val="en-US"/>
        </w:rPr>
        <w:t xml:space="preserve">: Are policies ready to shift? </w:t>
      </w:r>
      <w:r w:rsidRPr="00756A9D">
        <w:rPr>
          <w:rFonts w:ascii="Times New Roman" w:hAnsi="Times New Roman" w:cs="Times New Roman"/>
          <w:sz w:val="24"/>
          <w:szCs w:val="24"/>
        </w:rPr>
        <w:t xml:space="preserve">Research report. </w:t>
      </w:r>
      <w:r w:rsidRPr="00BD229C">
        <w:rPr>
          <w:rFonts w:ascii="Times New Roman" w:hAnsi="Times New Roman" w:cs="Times New Roman"/>
          <w:sz w:val="24"/>
          <w:szCs w:val="24"/>
        </w:rPr>
        <w:t xml:space="preserve">Jun., 2012. Disponível em: </w:t>
      </w:r>
      <w:hyperlink r:id="rId42" w:history="1">
        <w:r w:rsidRPr="00BD229C">
          <w:rPr>
            <w:rStyle w:val="Hyperlink"/>
            <w:rFonts w:ascii="Times New Roman" w:hAnsi="Times New Roman" w:cs="Times New Roman"/>
            <w:sz w:val="24"/>
            <w:szCs w:val="24"/>
          </w:rPr>
          <w:t>http://www.iisd.org/gsi/biofuel-subsidies/biofuels-state-play-2012</w:t>
        </w:r>
      </w:hyperlink>
      <w:r w:rsidRPr="00BD229C">
        <w:rPr>
          <w:rFonts w:ascii="Times New Roman" w:hAnsi="Times New Roman" w:cs="Times New Roman"/>
          <w:sz w:val="24"/>
          <w:szCs w:val="24"/>
        </w:rPr>
        <w:t>. Acesso em 29 jul. 2012.</w:t>
      </w:r>
    </w:p>
    <w:p w:rsidR="008D2C45" w:rsidRPr="0093452E" w:rsidRDefault="008D2C45" w:rsidP="000436A2">
      <w:pPr>
        <w:spacing w:after="240"/>
        <w:rPr>
          <w:rFonts w:ascii="Times New Roman" w:hAnsi="Times New Roman" w:cs="Times New Roman"/>
          <w:sz w:val="24"/>
          <w:szCs w:val="24"/>
          <w:lang w:val="en-US"/>
        </w:rPr>
      </w:pPr>
      <w:r w:rsidRPr="008D2C45">
        <w:rPr>
          <w:rFonts w:ascii="Times New Roman" w:hAnsi="Times New Roman" w:cs="Times New Roman"/>
          <w:sz w:val="24"/>
          <w:szCs w:val="24"/>
        </w:rPr>
        <w:t>IEL; S</w:t>
      </w:r>
      <w:r>
        <w:rPr>
          <w:rFonts w:ascii="Times New Roman" w:hAnsi="Times New Roman" w:cs="Times New Roman"/>
          <w:sz w:val="24"/>
          <w:szCs w:val="24"/>
        </w:rPr>
        <w:t xml:space="preserve">EBRAE. </w:t>
      </w:r>
      <w:r w:rsidRPr="008D2C45">
        <w:rPr>
          <w:rFonts w:ascii="Times New Roman" w:hAnsi="Times New Roman" w:cs="Times New Roman"/>
          <w:sz w:val="24"/>
          <w:szCs w:val="24"/>
        </w:rPr>
        <w:t>Instituto Euvaldo Lodi</w:t>
      </w:r>
      <w:r>
        <w:rPr>
          <w:rFonts w:ascii="Times New Roman" w:hAnsi="Times New Roman" w:cs="Times New Roman"/>
          <w:sz w:val="24"/>
          <w:szCs w:val="24"/>
        </w:rPr>
        <w:t xml:space="preserve">; Serviço de Apoio às Micro e Pequenas Empresas. O </w:t>
      </w:r>
      <w:r w:rsidRPr="008D2C45">
        <w:rPr>
          <w:rFonts w:ascii="Times New Roman" w:hAnsi="Times New Roman" w:cs="Times New Roman"/>
          <w:b/>
          <w:sz w:val="24"/>
          <w:szCs w:val="24"/>
        </w:rPr>
        <w:t>Novo Ciclo da Cana</w:t>
      </w:r>
      <w:r>
        <w:rPr>
          <w:rFonts w:ascii="Times New Roman" w:hAnsi="Times New Roman" w:cs="Times New Roman"/>
          <w:sz w:val="24"/>
          <w:szCs w:val="24"/>
        </w:rPr>
        <w:t xml:space="preserve">: Estudo sobre a Competitividade do Sistema Agroindustrial da Cana-de-açúcar e Prospecção de Novos Empreendimentos. </w:t>
      </w:r>
      <w:r w:rsidRPr="0093452E">
        <w:rPr>
          <w:rFonts w:ascii="Times New Roman" w:hAnsi="Times New Roman" w:cs="Times New Roman"/>
          <w:sz w:val="24"/>
          <w:szCs w:val="24"/>
          <w:lang w:val="en-US"/>
        </w:rPr>
        <w:t>Brasília: IEL/NC; SEBRAE, 2005.</w:t>
      </w:r>
    </w:p>
    <w:p w:rsidR="000436A2" w:rsidRPr="00F87468" w:rsidRDefault="000436A2" w:rsidP="000436A2">
      <w:pPr>
        <w:spacing w:after="240"/>
        <w:rPr>
          <w:rFonts w:ascii="Times New Roman" w:hAnsi="Times New Roman" w:cs="Times New Roman"/>
          <w:sz w:val="24"/>
          <w:szCs w:val="24"/>
        </w:rPr>
      </w:pPr>
      <w:r w:rsidRPr="0093452E">
        <w:rPr>
          <w:rFonts w:ascii="Times New Roman" w:hAnsi="Times New Roman" w:cs="Times New Roman"/>
          <w:sz w:val="24"/>
          <w:szCs w:val="24"/>
          <w:lang w:val="en-US"/>
        </w:rPr>
        <w:t xml:space="preserve">ISO. International Sugar Association. </w:t>
      </w:r>
      <w:r w:rsidRPr="004273AF">
        <w:rPr>
          <w:rFonts w:ascii="Times New Roman" w:hAnsi="Times New Roman" w:cs="Times New Roman"/>
          <w:b/>
          <w:sz w:val="24"/>
          <w:szCs w:val="24"/>
          <w:lang w:val="en-US"/>
        </w:rPr>
        <w:t>Cogeneration: Oportunities in the World Sugar Industries</w:t>
      </w:r>
      <w:r w:rsidRPr="004273AF">
        <w:rPr>
          <w:rFonts w:ascii="Times New Roman" w:hAnsi="Times New Roman" w:cs="Times New Roman"/>
          <w:sz w:val="24"/>
          <w:szCs w:val="24"/>
          <w:lang w:val="en-US"/>
        </w:rPr>
        <w:t xml:space="preserve">. </w:t>
      </w:r>
      <w:r w:rsidRPr="007C34FF">
        <w:rPr>
          <w:rFonts w:ascii="Times New Roman" w:hAnsi="Times New Roman" w:cs="Times New Roman"/>
          <w:sz w:val="24"/>
          <w:szCs w:val="24"/>
        </w:rPr>
        <w:t xml:space="preserve">Abril, 2009. Disponível em: </w:t>
      </w:r>
      <w:hyperlink r:id="rId43" w:history="1">
        <w:r w:rsidRPr="008A032A">
          <w:rPr>
            <w:rStyle w:val="Hyperlink"/>
            <w:rFonts w:ascii="Times New Roman" w:hAnsi="Times New Roman"/>
            <w:sz w:val="24"/>
            <w:szCs w:val="24"/>
          </w:rPr>
          <w:t>www.isosugar.org</w:t>
        </w:r>
      </w:hyperlink>
      <w:r>
        <w:rPr>
          <w:rFonts w:ascii="Times New Roman" w:hAnsi="Times New Roman" w:cs="Times New Roman"/>
          <w:sz w:val="24"/>
          <w:szCs w:val="24"/>
        </w:rPr>
        <w:t xml:space="preserve">. Acesso em 16 abr. </w:t>
      </w:r>
      <w:r w:rsidRPr="008A032A">
        <w:rPr>
          <w:rFonts w:ascii="Times New Roman" w:hAnsi="Times New Roman" w:cs="Times New Roman"/>
          <w:sz w:val="24"/>
          <w:szCs w:val="24"/>
        </w:rPr>
        <w:t>2012.</w:t>
      </w:r>
    </w:p>
    <w:p w:rsidR="000436A2" w:rsidRDefault="000436A2" w:rsidP="000436A2">
      <w:pPr>
        <w:rPr>
          <w:rFonts w:ascii="Times New Roman" w:hAnsi="Times New Roman" w:cs="Times New Roman"/>
        </w:rPr>
      </w:pPr>
      <w:r w:rsidRPr="00F87468">
        <w:rPr>
          <w:rFonts w:ascii="Times New Roman" w:hAnsi="Times New Roman" w:cs="Times New Roman"/>
          <w:sz w:val="24"/>
          <w:szCs w:val="24"/>
        </w:rPr>
        <w:lastRenderedPageBreak/>
        <w:t xml:space="preserve">IBGE. </w:t>
      </w:r>
      <w:r>
        <w:rPr>
          <w:rFonts w:ascii="Times New Roman" w:hAnsi="Times New Roman" w:cs="Times New Roman"/>
          <w:sz w:val="24"/>
          <w:szCs w:val="24"/>
        </w:rPr>
        <w:t xml:space="preserve">Instituto Brasileiro de Geografia e Estatística. Produção Agrícola Municipal. Disponível em: </w:t>
      </w:r>
      <w:hyperlink r:id="rId44" w:history="1">
        <w:r w:rsidRPr="00285C9C">
          <w:rPr>
            <w:rFonts w:ascii="Times New Roman" w:hAnsi="Times New Roman" w:cs="Times New Roman"/>
            <w:color w:val="0000FF"/>
            <w:u w:val="single"/>
          </w:rPr>
          <w:t>http://www.ibge.gov.br/home/estatistica/economia/pam/2010/tabelas_pdf/tabela01.pdf</w:t>
        </w:r>
      </w:hyperlink>
      <w:r>
        <w:rPr>
          <w:rFonts w:ascii="Times New Roman" w:hAnsi="Times New Roman" w:cs="Times New Roman"/>
        </w:rPr>
        <w:t>. Acesso em 02 fev. 2012.</w:t>
      </w:r>
    </w:p>
    <w:p w:rsidR="000436A2" w:rsidRPr="00285C9C" w:rsidRDefault="000436A2" w:rsidP="000436A2">
      <w:pPr>
        <w:rPr>
          <w:rFonts w:ascii="Times New Roman" w:hAnsi="Times New Roman" w:cs="Times New Roman"/>
          <w:sz w:val="24"/>
          <w:szCs w:val="24"/>
        </w:rPr>
      </w:pPr>
    </w:p>
    <w:p w:rsidR="000436A2" w:rsidRDefault="000436A2" w:rsidP="000436A2">
      <w:pPr>
        <w:rPr>
          <w:rFonts w:ascii="Times New Roman" w:hAnsi="Times New Roman" w:cs="Times New Roman"/>
          <w:sz w:val="24"/>
          <w:szCs w:val="24"/>
        </w:rPr>
      </w:pPr>
      <w:r w:rsidRPr="00910C49">
        <w:rPr>
          <w:rFonts w:ascii="Times New Roman" w:hAnsi="Times New Roman" w:cs="Times New Roman"/>
          <w:sz w:val="24"/>
          <w:szCs w:val="24"/>
        </w:rPr>
        <w:t>IPEA.</w:t>
      </w:r>
      <w:r>
        <w:rPr>
          <w:rFonts w:ascii="Times New Roman" w:hAnsi="Times New Roman" w:cs="Times New Roman"/>
          <w:sz w:val="24"/>
          <w:szCs w:val="24"/>
        </w:rPr>
        <w:t xml:space="preserve"> </w:t>
      </w:r>
      <w:r w:rsidRPr="00910C49">
        <w:rPr>
          <w:rFonts w:ascii="Times New Roman" w:hAnsi="Times New Roman" w:cs="Times New Roman"/>
          <w:b/>
          <w:sz w:val="24"/>
          <w:szCs w:val="24"/>
        </w:rPr>
        <w:t>Biocombustíveis no Brasil: Etanol e Biodiesel</w:t>
      </w:r>
      <w:r>
        <w:rPr>
          <w:rFonts w:ascii="Times New Roman" w:hAnsi="Times New Roman" w:cs="Times New Roman"/>
          <w:sz w:val="24"/>
          <w:szCs w:val="24"/>
        </w:rPr>
        <w:t>. Série Eixos do Desenvolvimento Nacional. Comunicados do IPEA, n.53, 2010.</w:t>
      </w:r>
    </w:p>
    <w:p w:rsidR="000436A2" w:rsidRDefault="000436A2" w:rsidP="000436A2">
      <w:pPr>
        <w:rPr>
          <w:rFonts w:ascii="Times New Roman" w:hAnsi="Times New Roman" w:cs="Times New Roman"/>
          <w:sz w:val="24"/>
          <w:szCs w:val="24"/>
        </w:rPr>
      </w:pPr>
    </w:p>
    <w:p w:rsidR="000436A2" w:rsidRPr="00756A9D" w:rsidRDefault="000436A2" w:rsidP="000436A2">
      <w:pPr>
        <w:rPr>
          <w:rFonts w:ascii="Times New Roman" w:hAnsi="Times New Roman" w:cs="Times New Roman"/>
          <w:sz w:val="24"/>
          <w:szCs w:val="24"/>
          <w:lang w:val="en-US"/>
        </w:rPr>
      </w:pPr>
      <w:r>
        <w:rPr>
          <w:rFonts w:ascii="Times New Roman" w:hAnsi="Times New Roman" w:cs="Times New Roman"/>
          <w:sz w:val="24"/>
          <w:szCs w:val="24"/>
        </w:rPr>
        <w:t>_____</w:t>
      </w:r>
      <w:r>
        <w:rPr>
          <w:rFonts w:ascii="Times New Roman" w:hAnsi="Times New Roman" w:cs="Times New Roman"/>
          <w:sz w:val="24"/>
          <w:szCs w:val="24"/>
        </w:rPr>
        <w:softHyphen/>
        <w:t xml:space="preserve">___. </w:t>
      </w:r>
      <w:r w:rsidRPr="00F27AC4">
        <w:rPr>
          <w:rFonts w:ascii="Times New Roman" w:hAnsi="Times New Roman" w:cs="Times New Roman"/>
          <w:b/>
          <w:sz w:val="24"/>
          <w:szCs w:val="24"/>
        </w:rPr>
        <w:t>Biodiesel no Brasil: desafios das políticas públicas para a dinamização da produção</w:t>
      </w:r>
      <w:r>
        <w:rPr>
          <w:rFonts w:ascii="Times New Roman" w:hAnsi="Times New Roman" w:cs="Times New Roman"/>
          <w:sz w:val="24"/>
          <w:szCs w:val="24"/>
        </w:rPr>
        <w:t xml:space="preserve">. </w:t>
      </w:r>
      <w:r w:rsidRPr="00756A9D">
        <w:rPr>
          <w:rFonts w:ascii="Times New Roman" w:hAnsi="Times New Roman" w:cs="Times New Roman"/>
          <w:sz w:val="24"/>
          <w:szCs w:val="24"/>
          <w:lang w:val="en-US"/>
        </w:rPr>
        <w:t>Comunicados do IPEA, n.137, 2012.</w:t>
      </w:r>
    </w:p>
    <w:p w:rsidR="000436A2" w:rsidRPr="00756A9D" w:rsidRDefault="000436A2" w:rsidP="000436A2">
      <w:pPr>
        <w:rPr>
          <w:rFonts w:ascii="Times New Roman" w:hAnsi="Times New Roman" w:cs="Times New Roman"/>
          <w:sz w:val="24"/>
          <w:szCs w:val="24"/>
          <w:lang w:val="en-US"/>
        </w:rPr>
      </w:pPr>
    </w:p>
    <w:p w:rsidR="00B946E6" w:rsidRPr="00123088" w:rsidRDefault="00B946E6" w:rsidP="000436A2">
      <w:pPr>
        <w:rPr>
          <w:rFonts w:ascii="Times New Roman" w:hAnsi="Times New Roman" w:cs="Times New Roman"/>
          <w:sz w:val="24"/>
          <w:szCs w:val="24"/>
        </w:rPr>
      </w:pPr>
      <w:r w:rsidRPr="00B946E6">
        <w:rPr>
          <w:rFonts w:ascii="Times New Roman" w:hAnsi="Times New Roman" w:cs="Times New Roman"/>
          <w:sz w:val="24"/>
          <w:szCs w:val="24"/>
          <w:lang w:val="en-US"/>
        </w:rPr>
        <w:t>JAMASB, T.; POLLITT, M. S</w:t>
      </w:r>
      <w:r>
        <w:rPr>
          <w:rFonts w:ascii="Times New Roman" w:hAnsi="Times New Roman" w:cs="Times New Roman"/>
          <w:sz w:val="24"/>
          <w:szCs w:val="24"/>
          <w:lang w:val="en-US"/>
        </w:rPr>
        <w:t xml:space="preserve">ecurity of Supply and regulation of energy networks. </w:t>
      </w:r>
      <w:r w:rsidRPr="00123088">
        <w:rPr>
          <w:rFonts w:ascii="Times New Roman" w:hAnsi="Times New Roman" w:cs="Times New Roman"/>
          <w:b/>
          <w:sz w:val="24"/>
          <w:szCs w:val="24"/>
        </w:rPr>
        <w:t>Energy Policy</w:t>
      </w:r>
      <w:r w:rsidRPr="00123088">
        <w:rPr>
          <w:rFonts w:ascii="Times New Roman" w:hAnsi="Times New Roman" w:cs="Times New Roman"/>
          <w:sz w:val="24"/>
          <w:szCs w:val="24"/>
        </w:rPr>
        <w:t>, v. 36, p. 4584-4589, 2008.</w:t>
      </w:r>
    </w:p>
    <w:p w:rsidR="00B946E6" w:rsidRPr="00123088" w:rsidRDefault="00B946E6" w:rsidP="000436A2">
      <w:pPr>
        <w:rPr>
          <w:rFonts w:ascii="Times New Roman" w:hAnsi="Times New Roman" w:cs="Times New Roman"/>
          <w:sz w:val="24"/>
          <w:szCs w:val="24"/>
        </w:rPr>
      </w:pPr>
    </w:p>
    <w:p w:rsidR="000436A2" w:rsidRDefault="000436A2" w:rsidP="000436A2">
      <w:pPr>
        <w:rPr>
          <w:rFonts w:ascii="Times New Roman" w:hAnsi="Times New Roman" w:cs="Times New Roman"/>
          <w:sz w:val="24"/>
          <w:szCs w:val="24"/>
          <w:lang w:val="en-US"/>
        </w:rPr>
      </w:pPr>
      <w:r w:rsidRPr="00FE0FB7">
        <w:rPr>
          <w:rFonts w:ascii="Times New Roman" w:hAnsi="Times New Roman" w:cs="Times New Roman"/>
          <w:sz w:val="24"/>
          <w:szCs w:val="24"/>
        </w:rPr>
        <w:t>JANK, M. S.; NAPPO, M. Eta</w:t>
      </w:r>
      <w:r>
        <w:rPr>
          <w:rFonts w:ascii="Times New Roman" w:hAnsi="Times New Roman" w:cs="Times New Roman"/>
          <w:sz w:val="24"/>
          <w:szCs w:val="24"/>
        </w:rPr>
        <w:t xml:space="preserve">nol de cana-de-açúcar: uma solução energética global sob ataque. In: ABRAMOVAY, R. (Org.), </w:t>
      </w:r>
      <w:r w:rsidRPr="00BE7863">
        <w:rPr>
          <w:rFonts w:ascii="Times New Roman" w:hAnsi="Times New Roman" w:cs="Times New Roman"/>
          <w:b/>
          <w:sz w:val="24"/>
          <w:szCs w:val="24"/>
        </w:rPr>
        <w:t>Biocombustíveis: a energia da controvérsia</w:t>
      </w:r>
      <w:r>
        <w:rPr>
          <w:rFonts w:ascii="Times New Roman" w:hAnsi="Times New Roman" w:cs="Times New Roman"/>
          <w:sz w:val="24"/>
          <w:szCs w:val="24"/>
        </w:rPr>
        <w:t xml:space="preserve">. São Paulo: Ed. </w:t>
      </w:r>
      <w:r>
        <w:rPr>
          <w:rFonts w:ascii="Times New Roman" w:hAnsi="Times New Roman" w:cs="Times New Roman"/>
          <w:sz w:val="24"/>
          <w:szCs w:val="24"/>
          <w:lang w:val="en-US"/>
        </w:rPr>
        <w:t>Senac, 2009</w:t>
      </w:r>
      <w:r w:rsidRPr="00F87468">
        <w:rPr>
          <w:rFonts w:ascii="Times New Roman" w:hAnsi="Times New Roman" w:cs="Times New Roman"/>
          <w:sz w:val="24"/>
          <w:szCs w:val="24"/>
          <w:lang w:val="en-US"/>
        </w:rPr>
        <w:t>, p. 19-58.</w:t>
      </w:r>
    </w:p>
    <w:p w:rsidR="000436A2" w:rsidRPr="00F87468" w:rsidRDefault="000436A2" w:rsidP="000436A2">
      <w:pPr>
        <w:rPr>
          <w:rFonts w:ascii="Times New Roman" w:hAnsi="Times New Roman" w:cs="Times New Roman"/>
          <w:sz w:val="24"/>
          <w:szCs w:val="24"/>
          <w:lang w:val="en-US"/>
        </w:rPr>
      </w:pPr>
    </w:p>
    <w:p w:rsidR="000436A2" w:rsidRDefault="000436A2" w:rsidP="000436A2">
      <w:pPr>
        <w:rPr>
          <w:rFonts w:ascii="Times New Roman" w:hAnsi="Times New Roman" w:cs="Times New Roman"/>
          <w:sz w:val="24"/>
          <w:szCs w:val="24"/>
          <w:lang w:val="en-US"/>
        </w:rPr>
      </w:pPr>
      <w:r w:rsidRPr="00385674">
        <w:rPr>
          <w:rFonts w:ascii="Times New Roman" w:hAnsi="Times New Roman" w:cs="Times New Roman"/>
          <w:sz w:val="24"/>
          <w:szCs w:val="24"/>
          <w:lang w:val="en-US"/>
        </w:rPr>
        <w:t xml:space="preserve">KLEPPER, S.; GRADDY, E. The evolution of new industries and the determinants of market structure. </w:t>
      </w:r>
      <w:r w:rsidRPr="00E32819">
        <w:rPr>
          <w:rFonts w:ascii="Times New Roman" w:hAnsi="Times New Roman" w:cs="Times New Roman"/>
          <w:b/>
          <w:sz w:val="24"/>
          <w:szCs w:val="24"/>
          <w:lang w:val="en-US"/>
        </w:rPr>
        <w:t>The Rand Journal of Economics</w:t>
      </w:r>
      <w:r w:rsidRPr="00E32819">
        <w:rPr>
          <w:rFonts w:ascii="Times New Roman" w:hAnsi="Times New Roman" w:cs="Times New Roman"/>
          <w:sz w:val="24"/>
          <w:szCs w:val="24"/>
          <w:lang w:val="en-US"/>
        </w:rPr>
        <w:t xml:space="preserve">, </w:t>
      </w:r>
      <w:r>
        <w:rPr>
          <w:rFonts w:ascii="Times New Roman" w:hAnsi="Times New Roman" w:cs="Times New Roman"/>
          <w:sz w:val="24"/>
          <w:szCs w:val="24"/>
          <w:lang w:val="en-US"/>
        </w:rPr>
        <w:t>v. 21, n.1</w:t>
      </w:r>
      <w:r w:rsidRPr="00E32819">
        <w:rPr>
          <w:rFonts w:ascii="Times New Roman" w:hAnsi="Times New Roman" w:cs="Times New Roman"/>
          <w:sz w:val="24"/>
          <w:szCs w:val="24"/>
          <w:lang w:val="en-US"/>
        </w:rPr>
        <w:t xml:space="preserve">, </w:t>
      </w:r>
      <w:r>
        <w:rPr>
          <w:rFonts w:ascii="Times New Roman" w:hAnsi="Times New Roman" w:cs="Times New Roman"/>
          <w:sz w:val="24"/>
          <w:szCs w:val="24"/>
          <w:lang w:val="en-US"/>
        </w:rPr>
        <w:t>p. 27-44, 1990</w:t>
      </w:r>
      <w:r w:rsidRPr="00E32819">
        <w:rPr>
          <w:rFonts w:ascii="Times New Roman" w:hAnsi="Times New Roman" w:cs="Times New Roman"/>
          <w:sz w:val="24"/>
          <w:szCs w:val="24"/>
          <w:lang w:val="en-US"/>
        </w:rPr>
        <w:t>.</w:t>
      </w:r>
    </w:p>
    <w:p w:rsidR="000436A2" w:rsidRPr="00F87468" w:rsidRDefault="000436A2" w:rsidP="000436A2">
      <w:pPr>
        <w:rPr>
          <w:rFonts w:ascii="Times New Roman" w:hAnsi="Times New Roman" w:cs="Times New Roman"/>
          <w:sz w:val="24"/>
          <w:szCs w:val="24"/>
          <w:lang w:val="en-US"/>
        </w:rPr>
      </w:pPr>
    </w:p>
    <w:p w:rsidR="000436A2" w:rsidRPr="00FD701C" w:rsidRDefault="000436A2" w:rsidP="000436A2">
      <w:pPr>
        <w:rPr>
          <w:rFonts w:ascii="Times New Roman" w:hAnsi="Times New Roman" w:cs="Times New Roman"/>
          <w:sz w:val="24"/>
          <w:szCs w:val="24"/>
        </w:rPr>
      </w:pPr>
      <w:r w:rsidRPr="00D86C82">
        <w:rPr>
          <w:rFonts w:ascii="Times New Roman" w:hAnsi="Times New Roman" w:cs="Times New Roman"/>
          <w:sz w:val="24"/>
          <w:szCs w:val="24"/>
          <w:lang w:val="en-US"/>
        </w:rPr>
        <w:t xml:space="preserve">KOLSTAD, C. </w:t>
      </w:r>
      <w:r w:rsidRPr="00D86C82">
        <w:rPr>
          <w:rFonts w:ascii="Times New Roman" w:hAnsi="Times New Roman" w:cs="Times New Roman"/>
          <w:b/>
          <w:sz w:val="24"/>
          <w:szCs w:val="24"/>
          <w:lang w:val="en-US"/>
        </w:rPr>
        <w:t>Environmental Economics</w:t>
      </w:r>
      <w:r w:rsidRPr="00D86C82">
        <w:rPr>
          <w:rFonts w:ascii="Times New Roman" w:hAnsi="Times New Roman" w:cs="Times New Roman"/>
          <w:sz w:val="24"/>
          <w:szCs w:val="24"/>
          <w:lang w:val="en-US"/>
        </w:rPr>
        <w:t xml:space="preserve">. </w:t>
      </w:r>
      <w:r w:rsidRPr="00FD701C">
        <w:rPr>
          <w:rFonts w:ascii="Times New Roman" w:hAnsi="Times New Roman" w:cs="Times New Roman"/>
          <w:sz w:val="24"/>
          <w:szCs w:val="24"/>
        </w:rPr>
        <w:t xml:space="preserve">Nova Iorque: Oxford University Press, 2000, p. 78-99. </w:t>
      </w:r>
    </w:p>
    <w:p w:rsidR="000436A2" w:rsidRPr="00FD701C" w:rsidRDefault="000436A2" w:rsidP="000436A2">
      <w:pPr>
        <w:rPr>
          <w:rFonts w:ascii="Times New Roman" w:hAnsi="Times New Roman" w:cs="Times New Roman"/>
          <w:sz w:val="24"/>
          <w:szCs w:val="24"/>
        </w:rPr>
      </w:pPr>
    </w:p>
    <w:p w:rsidR="000436A2" w:rsidRDefault="000436A2" w:rsidP="000436A2">
      <w:pPr>
        <w:rPr>
          <w:rFonts w:ascii="Times New Roman" w:hAnsi="Times New Roman" w:cs="Times New Roman"/>
          <w:sz w:val="24"/>
          <w:szCs w:val="24"/>
        </w:rPr>
      </w:pPr>
      <w:r w:rsidRPr="00177B19">
        <w:rPr>
          <w:rFonts w:ascii="Times New Roman" w:hAnsi="Times New Roman" w:cs="Times New Roman"/>
          <w:sz w:val="24"/>
          <w:szCs w:val="24"/>
        </w:rPr>
        <w:t xml:space="preserve">KUPFER, D. Política Industrial. </w:t>
      </w:r>
      <w:r w:rsidRPr="00F87468">
        <w:rPr>
          <w:rFonts w:ascii="Times New Roman" w:hAnsi="Times New Roman" w:cs="Times New Roman"/>
          <w:b/>
          <w:sz w:val="24"/>
          <w:szCs w:val="24"/>
        </w:rPr>
        <w:t>Econômica</w:t>
      </w:r>
      <w:r w:rsidRPr="00F87468">
        <w:rPr>
          <w:rFonts w:ascii="Times New Roman" w:hAnsi="Times New Roman" w:cs="Times New Roman"/>
          <w:sz w:val="24"/>
          <w:szCs w:val="24"/>
        </w:rPr>
        <w:t>, v. 5, n. 2, p. 281-298, 2003.</w:t>
      </w:r>
    </w:p>
    <w:p w:rsidR="000436A2" w:rsidRDefault="000436A2" w:rsidP="000436A2">
      <w:pPr>
        <w:rPr>
          <w:rFonts w:ascii="Times New Roman" w:hAnsi="Times New Roman" w:cs="Times New Roman"/>
          <w:sz w:val="24"/>
          <w:szCs w:val="24"/>
        </w:rPr>
      </w:pPr>
    </w:p>
    <w:p w:rsidR="000436A2" w:rsidRDefault="000436A2" w:rsidP="000436A2">
      <w:pPr>
        <w:rPr>
          <w:rFonts w:ascii="Times New Roman" w:hAnsi="Times New Roman" w:cs="Times New Roman"/>
          <w:sz w:val="24"/>
          <w:szCs w:val="24"/>
        </w:rPr>
      </w:pPr>
      <w:r>
        <w:rPr>
          <w:rFonts w:ascii="Times New Roman" w:hAnsi="Times New Roman" w:cs="Times New Roman"/>
          <w:sz w:val="24"/>
          <w:szCs w:val="24"/>
        </w:rPr>
        <w:t xml:space="preserve">________. </w:t>
      </w:r>
      <w:r w:rsidRPr="00FD701C">
        <w:rPr>
          <w:rFonts w:ascii="Times New Roman" w:hAnsi="Times New Roman" w:cs="Times New Roman"/>
          <w:b/>
          <w:sz w:val="24"/>
          <w:szCs w:val="24"/>
        </w:rPr>
        <w:t>A política industrial do século XXI</w:t>
      </w:r>
      <w:r>
        <w:rPr>
          <w:rFonts w:ascii="Times New Roman" w:hAnsi="Times New Roman" w:cs="Times New Roman"/>
          <w:sz w:val="24"/>
          <w:szCs w:val="24"/>
        </w:rPr>
        <w:t xml:space="preserve">. Artigo publicado na página do Programa Brasil Maior (MDIC), em 03/02/2012. </w:t>
      </w:r>
      <w:r w:rsidRPr="00FD701C">
        <w:rPr>
          <w:rFonts w:ascii="Times New Roman" w:hAnsi="Times New Roman" w:cs="Times New Roman"/>
          <w:sz w:val="24"/>
          <w:szCs w:val="24"/>
        </w:rPr>
        <w:t>Disponível em:</w:t>
      </w:r>
      <w:r>
        <w:rPr>
          <w:rFonts w:ascii="Times New Roman" w:hAnsi="Times New Roman" w:cs="Times New Roman"/>
          <w:sz w:val="24"/>
          <w:szCs w:val="24"/>
        </w:rPr>
        <w:t xml:space="preserve"> </w:t>
      </w:r>
      <w:hyperlink r:id="rId45" w:history="1">
        <w:r w:rsidRPr="00C93B60">
          <w:rPr>
            <w:rStyle w:val="Hyperlink"/>
            <w:rFonts w:ascii="Times New Roman" w:hAnsi="Times New Roman" w:cs="Times New Roman"/>
            <w:sz w:val="24"/>
            <w:szCs w:val="24"/>
          </w:rPr>
          <w:t>www.brasilmaior.mdic.gov.br/artigos/1898</w:t>
        </w:r>
      </w:hyperlink>
      <w:r w:rsidRPr="00FD701C">
        <w:rPr>
          <w:rFonts w:ascii="Times New Roman" w:hAnsi="Times New Roman" w:cs="Times New Roman"/>
          <w:sz w:val="24"/>
          <w:szCs w:val="24"/>
        </w:rPr>
        <w:t>. Acesso em 10 abr. 2012.</w:t>
      </w:r>
    </w:p>
    <w:p w:rsidR="000436A2" w:rsidRPr="00C25399" w:rsidRDefault="000436A2" w:rsidP="000436A2">
      <w:pPr>
        <w:rPr>
          <w:rFonts w:ascii="Times New Roman" w:hAnsi="Times New Roman" w:cs="Times New Roman"/>
          <w:sz w:val="24"/>
          <w:szCs w:val="24"/>
        </w:rPr>
      </w:pPr>
    </w:p>
    <w:p w:rsidR="000436A2" w:rsidRDefault="000436A2" w:rsidP="000436A2">
      <w:pPr>
        <w:rPr>
          <w:rFonts w:ascii="Times New Roman" w:hAnsi="Times New Roman" w:cs="Times New Roman"/>
          <w:sz w:val="24"/>
          <w:szCs w:val="24"/>
          <w:lang w:val="en-US"/>
        </w:rPr>
      </w:pPr>
      <w:r w:rsidRPr="00AF584D">
        <w:rPr>
          <w:rFonts w:ascii="Times New Roman" w:hAnsi="Times New Roman" w:cs="Times New Roman"/>
          <w:sz w:val="24"/>
          <w:szCs w:val="24"/>
          <w:lang w:val="en-US"/>
        </w:rPr>
        <w:t>LEVINTHAL, D. A. The slow pace of rapid technological change: gradualism and punctuation in technological change. In: DOSI, G; TEECE; D. J.;</w:t>
      </w:r>
      <w:r>
        <w:rPr>
          <w:rFonts w:ascii="Times New Roman" w:hAnsi="Times New Roman" w:cs="Times New Roman"/>
          <w:sz w:val="24"/>
          <w:szCs w:val="24"/>
          <w:lang w:val="en-US"/>
        </w:rPr>
        <w:t xml:space="preserve"> CHYTRY (Eds.). </w:t>
      </w:r>
      <w:r w:rsidRPr="00AF584D">
        <w:rPr>
          <w:rFonts w:ascii="Times New Roman" w:hAnsi="Times New Roman" w:cs="Times New Roman"/>
          <w:b/>
          <w:sz w:val="24"/>
          <w:szCs w:val="24"/>
          <w:lang w:val="en-US"/>
        </w:rPr>
        <w:t>Understanding Industrial and Corporate Change</w:t>
      </w:r>
      <w:r>
        <w:rPr>
          <w:rFonts w:ascii="Times New Roman" w:hAnsi="Times New Roman" w:cs="Times New Roman"/>
          <w:sz w:val="24"/>
          <w:szCs w:val="24"/>
          <w:lang w:val="en-US"/>
        </w:rPr>
        <w:t>. Londres: Oxford University Press, 2005.</w:t>
      </w:r>
    </w:p>
    <w:p w:rsidR="000436A2" w:rsidRDefault="000436A2" w:rsidP="000436A2">
      <w:pPr>
        <w:rPr>
          <w:rFonts w:ascii="Times New Roman" w:hAnsi="Times New Roman" w:cs="Times New Roman"/>
          <w:sz w:val="24"/>
          <w:szCs w:val="24"/>
          <w:lang w:val="en-US"/>
        </w:rPr>
      </w:pPr>
    </w:p>
    <w:p w:rsidR="000436A2" w:rsidRDefault="000436A2" w:rsidP="000436A2">
      <w:pPr>
        <w:rPr>
          <w:rFonts w:ascii="Times New Roman" w:hAnsi="Times New Roman" w:cs="Times New Roman"/>
          <w:sz w:val="24"/>
          <w:szCs w:val="24"/>
        </w:rPr>
      </w:pPr>
      <w:r w:rsidRPr="00AC184D">
        <w:rPr>
          <w:rFonts w:ascii="Times New Roman" w:hAnsi="Times New Roman" w:cs="Times New Roman"/>
          <w:sz w:val="24"/>
          <w:szCs w:val="24"/>
          <w:lang w:val="en-US"/>
        </w:rPr>
        <w:t>LEVY, B.; SPILLER, P</w:t>
      </w:r>
      <w:r>
        <w:rPr>
          <w:rFonts w:ascii="Times New Roman" w:hAnsi="Times New Roman" w:cs="Times New Roman"/>
          <w:sz w:val="24"/>
          <w:szCs w:val="24"/>
          <w:lang w:val="en-US"/>
        </w:rPr>
        <w:t>. T</w:t>
      </w:r>
      <w:r w:rsidRPr="00AC184D">
        <w:rPr>
          <w:rFonts w:ascii="Times New Roman" w:hAnsi="Times New Roman" w:cs="Times New Roman"/>
          <w:sz w:val="24"/>
          <w:szCs w:val="24"/>
          <w:lang w:val="en-US"/>
        </w:rPr>
        <w:t xml:space="preserve">. The institutional foundations of regulatory commitment: A comparative analysis </w:t>
      </w:r>
      <w:r>
        <w:rPr>
          <w:rFonts w:ascii="Times New Roman" w:hAnsi="Times New Roman" w:cs="Times New Roman"/>
          <w:sz w:val="24"/>
          <w:szCs w:val="24"/>
          <w:lang w:val="en-US"/>
        </w:rPr>
        <w:t xml:space="preserve">of telecommunications regulation. </w:t>
      </w:r>
      <w:r w:rsidRPr="00DE71B1">
        <w:rPr>
          <w:rFonts w:ascii="Times New Roman" w:hAnsi="Times New Roman" w:cs="Times New Roman"/>
          <w:b/>
          <w:sz w:val="24"/>
          <w:szCs w:val="24"/>
        </w:rPr>
        <w:t>Journal of Law, Economics &amp; Organization</w:t>
      </w:r>
      <w:r>
        <w:rPr>
          <w:rFonts w:ascii="Times New Roman" w:hAnsi="Times New Roman" w:cs="Times New Roman"/>
          <w:sz w:val="24"/>
          <w:szCs w:val="24"/>
        </w:rPr>
        <w:t xml:space="preserve">, v. 10, n. </w:t>
      </w:r>
      <w:r w:rsidRPr="00DE71B1">
        <w:rPr>
          <w:rFonts w:ascii="Times New Roman" w:hAnsi="Times New Roman" w:cs="Times New Roman"/>
          <w:sz w:val="24"/>
          <w:szCs w:val="24"/>
        </w:rPr>
        <w:t>2, p. 201-246, 1994</w:t>
      </w:r>
      <w:r>
        <w:rPr>
          <w:rFonts w:ascii="Times New Roman" w:hAnsi="Times New Roman" w:cs="Times New Roman"/>
          <w:sz w:val="24"/>
          <w:szCs w:val="24"/>
        </w:rPr>
        <w:t>.</w:t>
      </w:r>
    </w:p>
    <w:p w:rsidR="000436A2" w:rsidRDefault="000436A2" w:rsidP="000436A2">
      <w:pPr>
        <w:rPr>
          <w:rFonts w:ascii="Times New Roman" w:hAnsi="Times New Roman" w:cs="Times New Roman"/>
          <w:sz w:val="24"/>
          <w:szCs w:val="24"/>
        </w:rPr>
      </w:pPr>
    </w:p>
    <w:p w:rsidR="000436A2" w:rsidRPr="007C34FF" w:rsidRDefault="000436A2" w:rsidP="000436A2">
      <w:pPr>
        <w:spacing w:after="240"/>
        <w:rPr>
          <w:rFonts w:ascii="Times New Roman" w:hAnsi="Times New Roman" w:cs="Times New Roman"/>
          <w:sz w:val="24"/>
          <w:szCs w:val="24"/>
        </w:rPr>
      </w:pPr>
      <w:r w:rsidRPr="00385674">
        <w:rPr>
          <w:rFonts w:ascii="Times New Roman" w:hAnsi="Times New Roman" w:cs="Times New Roman"/>
          <w:sz w:val="24"/>
          <w:szCs w:val="24"/>
        </w:rPr>
        <w:t xml:space="preserve">MACEDO, I. C. </w:t>
      </w:r>
      <w:r w:rsidRPr="00385674">
        <w:rPr>
          <w:rFonts w:ascii="Times New Roman" w:hAnsi="Times New Roman" w:cs="Times New Roman"/>
          <w:b/>
          <w:sz w:val="24"/>
          <w:szCs w:val="24"/>
        </w:rPr>
        <w:t>Situação atual e perspectivas do etanol</w:t>
      </w:r>
      <w:r w:rsidRPr="00385674">
        <w:rPr>
          <w:rFonts w:ascii="Times New Roman" w:hAnsi="Times New Roman" w:cs="Times New Roman"/>
          <w:sz w:val="24"/>
          <w:szCs w:val="24"/>
        </w:rPr>
        <w:t xml:space="preserve">. </w:t>
      </w:r>
      <w:r w:rsidRPr="007C34FF">
        <w:rPr>
          <w:rFonts w:ascii="Times New Roman" w:hAnsi="Times New Roman" w:cs="Times New Roman"/>
          <w:sz w:val="24"/>
          <w:szCs w:val="24"/>
        </w:rPr>
        <w:t xml:space="preserve">Estudos Avançados, </w:t>
      </w:r>
      <w:r>
        <w:rPr>
          <w:rFonts w:ascii="Times New Roman" w:hAnsi="Times New Roman" w:cs="Times New Roman"/>
          <w:sz w:val="24"/>
          <w:szCs w:val="24"/>
        </w:rPr>
        <w:t>v. 21, n. 59</w:t>
      </w:r>
      <w:r w:rsidRPr="007C34FF">
        <w:rPr>
          <w:rFonts w:ascii="Times New Roman" w:hAnsi="Times New Roman" w:cs="Times New Roman"/>
          <w:sz w:val="24"/>
          <w:szCs w:val="24"/>
        </w:rPr>
        <w:t>, p. 157-165</w:t>
      </w:r>
      <w:r>
        <w:rPr>
          <w:rFonts w:ascii="Times New Roman" w:hAnsi="Times New Roman" w:cs="Times New Roman"/>
          <w:sz w:val="24"/>
          <w:szCs w:val="24"/>
        </w:rPr>
        <w:t xml:space="preserve">, jan./abr. </w:t>
      </w:r>
      <w:r w:rsidRPr="007C34FF">
        <w:rPr>
          <w:rFonts w:ascii="Times New Roman" w:hAnsi="Times New Roman" w:cs="Times New Roman"/>
          <w:sz w:val="24"/>
          <w:szCs w:val="24"/>
        </w:rPr>
        <w:t>2007.</w:t>
      </w:r>
    </w:p>
    <w:p w:rsidR="000436A2" w:rsidRPr="00C256D7" w:rsidRDefault="000436A2" w:rsidP="000436A2">
      <w:pPr>
        <w:spacing w:after="240"/>
        <w:rPr>
          <w:rFonts w:ascii="Times New Roman" w:hAnsi="Times New Roman" w:cs="Times New Roman"/>
          <w:sz w:val="24"/>
          <w:szCs w:val="24"/>
        </w:rPr>
      </w:pPr>
      <w:r w:rsidRPr="007C34FF">
        <w:rPr>
          <w:rFonts w:ascii="Times New Roman" w:hAnsi="Times New Roman" w:cs="Times New Roman"/>
          <w:sz w:val="24"/>
          <w:szCs w:val="24"/>
        </w:rPr>
        <w:t>MACEDO, I. C.; HORTA NOG</w:t>
      </w:r>
      <w:r>
        <w:rPr>
          <w:rFonts w:ascii="Times New Roman" w:hAnsi="Times New Roman" w:cs="Times New Roman"/>
          <w:sz w:val="24"/>
          <w:szCs w:val="24"/>
        </w:rPr>
        <w:t xml:space="preserve">UEIRA. L. A. </w:t>
      </w:r>
      <w:r w:rsidRPr="008645E8">
        <w:rPr>
          <w:rFonts w:ascii="Times New Roman" w:hAnsi="Times New Roman" w:cs="Times New Roman"/>
          <w:b/>
          <w:sz w:val="24"/>
          <w:szCs w:val="24"/>
        </w:rPr>
        <w:t>Avaliação da expansão da produção de etanol no Brasil</w:t>
      </w:r>
      <w:r>
        <w:rPr>
          <w:rFonts w:ascii="Times New Roman" w:hAnsi="Times New Roman" w:cs="Times New Roman"/>
          <w:sz w:val="24"/>
          <w:szCs w:val="24"/>
        </w:rPr>
        <w:t>. Centro de Gestão de Estudos Estratégicos. Brasília, 2004.</w:t>
      </w:r>
    </w:p>
    <w:p w:rsidR="000436A2" w:rsidRPr="00995B01" w:rsidRDefault="000436A2" w:rsidP="000436A2">
      <w:pPr>
        <w:rPr>
          <w:rFonts w:ascii="Times New Roman" w:hAnsi="Times New Roman" w:cs="Times New Roman"/>
          <w:sz w:val="24"/>
          <w:szCs w:val="24"/>
        </w:rPr>
      </w:pPr>
      <w:r w:rsidRPr="00995B01">
        <w:rPr>
          <w:rFonts w:ascii="Times New Roman" w:hAnsi="Times New Roman" w:cs="Times New Roman"/>
          <w:sz w:val="24"/>
          <w:szCs w:val="24"/>
        </w:rPr>
        <w:t>MAHONEY, J.; McCAHAN, A., PITELIS, C. The Interdependence of Private and Public Interests, Organization Science, v. 20, n. 6, p. 1034-1052, 2009.</w:t>
      </w:r>
    </w:p>
    <w:p w:rsidR="000436A2" w:rsidRPr="00995B01" w:rsidRDefault="000436A2" w:rsidP="000436A2">
      <w:pPr>
        <w:rPr>
          <w:rFonts w:ascii="Times New Roman" w:hAnsi="Times New Roman" w:cs="Times New Roman"/>
          <w:sz w:val="24"/>
          <w:szCs w:val="24"/>
        </w:rPr>
      </w:pPr>
    </w:p>
    <w:p w:rsidR="000436A2" w:rsidRPr="00565805" w:rsidRDefault="000436A2" w:rsidP="000436A2">
      <w:pPr>
        <w:spacing w:after="240"/>
        <w:rPr>
          <w:rFonts w:ascii="Times New Roman" w:hAnsi="Times New Roman" w:cs="Times New Roman"/>
          <w:sz w:val="24"/>
          <w:szCs w:val="24"/>
          <w:lang w:val="en-US"/>
        </w:rPr>
      </w:pPr>
      <w:r w:rsidRPr="002317AB">
        <w:rPr>
          <w:rFonts w:ascii="Times New Roman" w:hAnsi="Times New Roman" w:cs="Times New Roman"/>
          <w:sz w:val="24"/>
          <w:szCs w:val="24"/>
          <w:lang w:val="en-US"/>
        </w:rPr>
        <w:t xml:space="preserve">MALERBA, F. Innovation and the evolution of industries. </w:t>
      </w:r>
      <w:r w:rsidRPr="00565805">
        <w:rPr>
          <w:rFonts w:ascii="Times New Roman" w:hAnsi="Times New Roman" w:cs="Times New Roman"/>
          <w:b/>
          <w:sz w:val="24"/>
          <w:szCs w:val="24"/>
          <w:lang w:val="en-US"/>
        </w:rPr>
        <w:t>Journal of Evolutionary Economics</w:t>
      </w:r>
      <w:r w:rsidRPr="00565805">
        <w:rPr>
          <w:rFonts w:ascii="Times New Roman" w:hAnsi="Times New Roman" w:cs="Times New Roman"/>
          <w:sz w:val="24"/>
          <w:szCs w:val="24"/>
          <w:lang w:val="en-US"/>
        </w:rPr>
        <w:t xml:space="preserve">, v. 16, </w:t>
      </w:r>
      <w:r>
        <w:rPr>
          <w:rFonts w:ascii="Times New Roman" w:hAnsi="Times New Roman" w:cs="Times New Roman"/>
          <w:sz w:val="24"/>
          <w:szCs w:val="24"/>
          <w:lang w:val="en-US"/>
        </w:rPr>
        <w:t>p. 3-23, 2006</w:t>
      </w:r>
      <w:r w:rsidRPr="00565805">
        <w:rPr>
          <w:rFonts w:ascii="Times New Roman" w:hAnsi="Times New Roman" w:cs="Times New Roman"/>
          <w:sz w:val="24"/>
          <w:szCs w:val="24"/>
          <w:lang w:val="en-US"/>
        </w:rPr>
        <w:t>.</w:t>
      </w:r>
    </w:p>
    <w:p w:rsidR="000436A2" w:rsidRDefault="000436A2" w:rsidP="000436A2">
      <w:pPr>
        <w:rPr>
          <w:rFonts w:ascii="Times New Roman" w:hAnsi="Times New Roman" w:cs="Times New Roman"/>
          <w:sz w:val="24"/>
          <w:szCs w:val="24"/>
        </w:rPr>
      </w:pPr>
      <w:r w:rsidRPr="00A13CF8">
        <w:rPr>
          <w:rFonts w:ascii="Times New Roman" w:hAnsi="Times New Roman" w:cs="Times New Roman"/>
          <w:sz w:val="24"/>
          <w:szCs w:val="24"/>
          <w:lang w:val="en-US"/>
        </w:rPr>
        <w:lastRenderedPageBreak/>
        <w:t xml:space="preserve">MALERBA, F.; ORSENIGO, L. </w:t>
      </w:r>
      <w:r w:rsidRPr="009E726F">
        <w:rPr>
          <w:rFonts w:ascii="Times New Roman" w:hAnsi="Times New Roman" w:cs="Times New Roman"/>
          <w:sz w:val="24"/>
          <w:szCs w:val="24"/>
          <w:lang w:val="en-US"/>
        </w:rPr>
        <w:t>The dynamics and evolution of industries</w:t>
      </w:r>
      <w:r w:rsidRPr="00A13CF8">
        <w:rPr>
          <w:rFonts w:ascii="Times New Roman" w:hAnsi="Times New Roman" w:cs="Times New Roman"/>
          <w:sz w:val="24"/>
          <w:szCs w:val="24"/>
          <w:lang w:val="en-US"/>
        </w:rPr>
        <w:t xml:space="preserve">. </w:t>
      </w:r>
      <w:r w:rsidRPr="007C34FF">
        <w:rPr>
          <w:rFonts w:ascii="Times New Roman" w:hAnsi="Times New Roman" w:cs="Times New Roman"/>
          <w:b/>
          <w:sz w:val="24"/>
          <w:szCs w:val="24"/>
        </w:rPr>
        <w:t>Industrial and Corporate Change</w:t>
      </w:r>
      <w:r w:rsidRPr="007C34FF">
        <w:rPr>
          <w:rFonts w:ascii="Times New Roman" w:hAnsi="Times New Roman" w:cs="Times New Roman"/>
          <w:sz w:val="24"/>
          <w:szCs w:val="24"/>
        </w:rPr>
        <w:t>, v. 5, n. 1, 1996.</w:t>
      </w:r>
    </w:p>
    <w:p w:rsidR="000436A2" w:rsidRDefault="000436A2" w:rsidP="000436A2">
      <w:pPr>
        <w:rPr>
          <w:rFonts w:ascii="Times New Roman" w:hAnsi="Times New Roman" w:cs="Times New Roman"/>
          <w:sz w:val="24"/>
          <w:szCs w:val="24"/>
        </w:rPr>
      </w:pPr>
    </w:p>
    <w:p w:rsidR="000436A2" w:rsidRDefault="000436A2" w:rsidP="000436A2">
      <w:pPr>
        <w:rPr>
          <w:rFonts w:ascii="Times New Roman" w:hAnsi="Times New Roman" w:cs="Times New Roman"/>
          <w:sz w:val="24"/>
          <w:szCs w:val="24"/>
        </w:rPr>
      </w:pPr>
      <w:r>
        <w:rPr>
          <w:rFonts w:ascii="Times New Roman" w:hAnsi="Times New Roman" w:cs="Times New Roman"/>
          <w:sz w:val="24"/>
          <w:szCs w:val="24"/>
        </w:rPr>
        <w:t>MAPA.</w:t>
      </w:r>
      <w:r w:rsidRPr="00A6258F">
        <w:rPr>
          <w:rFonts w:ascii="Times New Roman" w:hAnsi="Times New Roman" w:cs="Times New Roman"/>
          <w:b/>
          <w:sz w:val="24"/>
          <w:szCs w:val="24"/>
        </w:rPr>
        <w:t xml:space="preserve"> Zoneamento</w:t>
      </w:r>
      <w:r>
        <w:rPr>
          <w:rFonts w:ascii="Times New Roman" w:hAnsi="Times New Roman" w:cs="Times New Roman"/>
          <w:sz w:val="24"/>
          <w:szCs w:val="24"/>
        </w:rPr>
        <w:t xml:space="preserve"> </w:t>
      </w:r>
      <w:r w:rsidRPr="005C252F">
        <w:rPr>
          <w:rFonts w:ascii="Times New Roman" w:hAnsi="Times New Roman" w:cs="Times New Roman"/>
          <w:b/>
          <w:sz w:val="24"/>
          <w:szCs w:val="24"/>
        </w:rPr>
        <w:t>Agroecológico da Cana-de-Açúcar: Expandir a produção, preservar a vida, garantir o futuro</w:t>
      </w:r>
      <w:r>
        <w:rPr>
          <w:rFonts w:ascii="Times New Roman" w:hAnsi="Times New Roman" w:cs="Times New Roman"/>
          <w:sz w:val="24"/>
          <w:szCs w:val="24"/>
        </w:rPr>
        <w:t>. Documentos 110, 2009.</w:t>
      </w:r>
    </w:p>
    <w:p w:rsidR="000436A2" w:rsidRDefault="000436A2" w:rsidP="000436A2">
      <w:pPr>
        <w:rPr>
          <w:rFonts w:ascii="Times New Roman" w:hAnsi="Times New Roman" w:cs="Times New Roman"/>
          <w:sz w:val="24"/>
          <w:szCs w:val="24"/>
          <w:lang w:val="pt-PT"/>
        </w:rPr>
      </w:pPr>
    </w:p>
    <w:p w:rsidR="000436A2" w:rsidRDefault="000436A2" w:rsidP="000436A2">
      <w:pPr>
        <w:rPr>
          <w:rFonts w:ascii="Times New Roman" w:hAnsi="Times New Roman" w:cs="Times New Roman"/>
          <w:sz w:val="24"/>
          <w:szCs w:val="24"/>
        </w:rPr>
      </w:pPr>
      <w:r w:rsidRPr="0080104E">
        <w:rPr>
          <w:rFonts w:ascii="Times New Roman" w:hAnsi="Times New Roman" w:cs="Times New Roman"/>
          <w:sz w:val="24"/>
          <w:szCs w:val="24"/>
        </w:rPr>
        <w:t>MATIAS, C</w:t>
      </w:r>
      <w:r>
        <w:rPr>
          <w:rFonts w:ascii="Times New Roman" w:hAnsi="Times New Roman" w:cs="Times New Roman"/>
          <w:sz w:val="24"/>
          <w:szCs w:val="24"/>
        </w:rPr>
        <w:t xml:space="preserve">. A. </w:t>
      </w:r>
      <w:r w:rsidRPr="0048006C">
        <w:rPr>
          <w:rFonts w:ascii="Times New Roman" w:hAnsi="Times New Roman" w:cs="Times New Roman"/>
          <w:b/>
          <w:sz w:val="24"/>
          <w:szCs w:val="24"/>
        </w:rPr>
        <w:t>Co-evolução dos Componentes do Marco Institucional e das Trajetórias de Acumulação de Capacidades Tecnológicas no Setor de Agroenergia (Etanol) no Brasil (1970-2009)</w:t>
      </w:r>
      <w:r>
        <w:rPr>
          <w:rFonts w:ascii="Times New Roman" w:hAnsi="Times New Roman" w:cs="Times New Roman"/>
          <w:sz w:val="24"/>
          <w:szCs w:val="24"/>
        </w:rPr>
        <w:t>. Disssertação (Mestrado). Escola Brasileira de Administração Pública, Fundação Getúlio Vargas. Rio de Janeiro, 2011.</w:t>
      </w:r>
    </w:p>
    <w:p w:rsidR="000436A2" w:rsidRDefault="000436A2" w:rsidP="000436A2">
      <w:pPr>
        <w:rPr>
          <w:rFonts w:ascii="Times New Roman" w:hAnsi="Times New Roman" w:cs="Times New Roman"/>
          <w:sz w:val="24"/>
          <w:szCs w:val="24"/>
        </w:rPr>
      </w:pPr>
    </w:p>
    <w:p w:rsidR="000436A2" w:rsidRDefault="00F252DB" w:rsidP="000436A2">
      <w:pPr>
        <w:rPr>
          <w:rFonts w:ascii="Times New Roman" w:hAnsi="Times New Roman" w:cs="Times New Roman"/>
          <w:sz w:val="24"/>
          <w:szCs w:val="24"/>
          <w:lang w:val="pt-PT"/>
        </w:rPr>
      </w:pPr>
      <w:r>
        <w:rPr>
          <w:rFonts w:ascii="Times New Roman" w:hAnsi="Times New Roman" w:cs="Times New Roman"/>
          <w:sz w:val="24"/>
          <w:szCs w:val="24"/>
        </w:rPr>
        <w:t>MDIC</w:t>
      </w:r>
      <w:r w:rsidR="000436A2" w:rsidRPr="00D86C82">
        <w:rPr>
          <w:rFonts w:ascii="Times New Roman" w:hAnsi="Times New Roman" w:cs="Times New Roman"/>
          <w:sz w:val="24"/>
          <w:szCs w:val="24"/>
        </w:rPr>
        <w:t>.</w:t>
      </w:r>
      <w:r>
        <w:rPr>
          <w:rFonts w:ascii="Times New Roman" w:hAnsi="Times New Roman" w:cs="Times New Roman"/>
          <w:sz w:val="24"/>
          <w:szCs w:val="24"/>
        </w:rPr>
        <w:t xml:space="preserve"> Ministério do Desenvolvimento, Indústria e Comércio Exterior.</w:t>
      </w:r>
      <w:r w:rsidR="000436A2" w:rsidRPr="00D86C82">
        <w:rPr>
          <w:rFonts w:ascii="Times New Roman" w:hAnsi="Times New Roman" w:cs="Times New Roman"/>
          <w:sz w:val="24"/>
          <w:szCs w:val="24"/>
        </w:rPr>
        <w:t xml:space="preserve"> </w:t>
      </w:r>
      <w:r w:rsidR="000436A2" w:rsidRPr="001A198C">
        <w:rPr>
          <w:rFonts w:ascii="Times New Roman" w:hAnsi="Times New Roman" w:cs="Times New Roman"/>
          <w:b/>
          <w:sz w:val="24"/>
          <w:szCs w:val="24"/>
          <w:lang w:val="pt-PT"/>
        </w:rPr>
        <w:t>Programas para Consolidar e Expandir a Liderança: Bioetanol.</w:t>
      </w:r>
      <w:r w:rsidR="000436A2">
        <w:rPr>
          <w:rFonts w:ascii="Times New Roman" w:hAnsi="Times New Roman" w:cs="Times New Roman"/>
          <w:sz w:val="24"/>
          <w:szCs w:val="24"/>
          <w:lang w:val="pt-PT"/>
        </w:rPr>
        <w:t xml:space="preserve"> Política de Desenvolvimento Produtivo, 2009</w:t>
      </w:r>
      <w:r>
        <w:rPr>
          <w:rFonts w:ascii="Times New Roman" w:hAnsi="Times New Roman" w:cs="Times New Roman"/>
          <w:sz w:val="24"/>
          <w:szCs w:val="24"/>
          <w:lang w:val="pt-PT"/>
        </w:rPr>
        <w:t>a</w:t>
      </w:r>
      <w:r w:rsidR="000436A2">
        <w:rPr>
          <w:rFonts w:ascii="Times New Roman" w:hAnsi="Times New Roman" w:cs="Times New Roman"/>
          <w:sz w:val="24"/>
          <w:szCs w:val="24"/>
          <w:lang w:val="pt-PT"/>
        </w:rPr>
        <w:t xml:space="preserve">. Disponível em </w:t>
      </w:r>
      <w:hyperlink r:id="rId46" w:history="1">
        <w:r w:rsidR="000436A2" w:rsidRPr="00EA578F">
          <w:rPr>
            <w:rStyle w:val="Hyperlink"/>
            <w:rFonts w:ascii="Times New Roman" w:hAnsi="Times New Roman"/>
            <w:sz w:val="24"/>
            <w:szCs w:val="24"/>
            <w:lang w:val="pt-PT"/>
          </w:rPr>
          <w:t>http://www.pdp.gov.br</w:t>
        </w:r>
      </w:hyperlink>
      <w:r w:rsidR="000436A2">
        <w:rPr>
          <w:rFonts w:ascii="Times New Roman" w:hAnsi="Times New Roman" w:cs="Times New Roman"/>
          <w:sz w:val="24"/>
          <w:szCs w:val="24"/>
          <w:lang w:val="pt-PT"/>
        </w:rPr>
        <w:t>. Acesso em 26 jan. 2012.</w:t>
      </w:r>
    </w:p>
    <w:p w:rsidR="000436A2" w:rsidRDefault="000436A2" w:rsidP="000436A2">
      <w:pPr>
        <w:rPr>
          <w:rFonts w:ascii="Times New Roman" w:hAnsi="Times New Roman" w:cs="Times New Roman"/>
          <w:sz w:val="24"/>
          <w:szCs w:val="24"/>
          <w:lang w:val="pt-PT"/>
        </w:rPr>
      </w:pPr>
    </w:p>
    <w:p w:rsidR="000436A2" w:rsidRDefault="00F252DB" w:rsidP="000436A2">
      <w:pPr>
        <w:rPr>
          <w:rFonts w:ascii="Times New Roman" w:hAnsi="Times New Roman" w:cs="Times New Roman"/>
          <w:sz w:val="24"/>
          <w:szCs w:val="24"/>
          <w:lang w:val="pt-PT"/>
        </w:rPr>
      </w:pPr>
      <w:r>
        <w:rPr>
          <w:rFonts w:ascii="Times New Roman" w:hAnsi="Times New Roman" w:cs="Times New Roman"/>
          <w:sz w:val="24"/>
          <w:szCs w:val="24"/>
          <w:lang w:val="pt-PT"/>
        </w:rPr>
        <w:t>___________</w:t>
      </w:r>
      <w:r w:rsidR="000436A2">
        <w:rPr>
          <w:rFonts w:ascii="Times New Roman" w:hAnsi="Times New Roman" w:cs="Times New Roman"/>
          <w:sz w:val="24"/>
          <w:szCs w:val="24"/>
          <w:lang w:val="pt-PT"/>
        </w:rPr>
        <w:t xml:space="preserve">. </w:t>
      </w:r>
      <w:r w:rsidR="000436A2" w:rsidRPr="001A198C">
        <w:rPr>
          <w:rFonts w:ascii="Times New Roman" w:hAnsi="Times New Roman" w:cs="Times New Roman"/>
          <w:b/>
          <w:sz w:val="24"/>
          <w:szCs w:val="24"/>
          <w:lang w:val="pt-PT"/>
        </w:rPr>
        <w:t xml:space="preserve">Programas para </w:t>
      </w:r>
      <w:r w:rsidR="000436A2">
        <w:rPr>
          <w:rFonts w:ascii="Times New Roman" w:hAnsi="Times New Roman" w:cs="Times New Roman"/>
          <w:b/>
          <w:sz w:val="24"/>
          <w:szCs w:val="24"/>
          <w:lang w:val="pt-PT"/>
        </w:rPr>
        <w:t>Fortalecer a Competitividade: Biodiesel</w:t>
      </w:r>
      <w:r w:rsidR="000436A2" w:rsidRPr="001A198C">
        <w:rPr>
          <w:rFonts w:ascii="Times New Roman" w:hAnsi="Times New Roman" w:cs="Times New Roman"/>
          <w:b/>
          <w:sz w:val="24"/>
          <w:szCs w:val="24"/>
          <w:lang w:val="pt-PT"/>
        </w:rPr>
        <w:t>.</w:t>
      </w:r>
      <w:r w:rsidR="000436A2">
        <w:rPr>
          <w:rFonts w:ascii="Times New Roman" w:hAnsi="Times New Roman" w:cs="Times New Roman"/>
          <w:sz w:val="24"/>
          <w:szCs w:val="24"/>
          <w:lang w:val="pt-PT"/>
        </w:rPr>
        <w:t xml:space="preserve"> Política de Desenvolvimento Produtivo, 2009</w:t>
      </w:r>
      <w:r>
        <w:rPr>
          <w:rFonts w:ascii="Times New Roman" w:hAnsi="Times New Roman" w:cs="Times New Roman"/>
          <w:sz w:val="24"/>
          <w:szCs w:val="24"/>
          <w:lang w:val="pt-PT"/>
        </w:rPr>
        <w:t>b</w:t>
      </w:r>
      <w:r w:rsidR="000436A2">
        <w:rPr>
          <w:rFonts w:ascii="Times New Roman" w:hAnsi="Times New Roman" w:cs="Times New Roman"/>
          <w:sz w:val="24"/>
          <w:szCs w:val="24"/>
          <w:lang w:val="pt-PT"/>
        </w:rPr>
        <w:t xml:space="preserve">. Disponível em </w:t>
      </w:r>
      <w:hyperlink r:id="rId47" w:history="1">
        <w:r w:rsidR="000436A2" w:rsidRPr="00EA578F">
          <w:rPr>
            <w:rStyle w:val="Hyperlink"/>
            <w:rFonts w:ascii="Times New Roman" w:hAnsi="Times New Roman"/>
            <w:sz w:val="24"/>
            <w:szCs w:val="24"/>
            <w:lang w:val="pt-PT"/>
          </w:rPr>
          <w:t>http://www.pdp.gov.br</w:t>
        </w:r>
      </w:hyperlink>
      <w:r w:rsidR="000436A2">
        <w:rPr>
          <w:rFonts w:ascii="Times New Roman" w:hAnsi="Times New Roman" w:cs="Times New Roman"/>
          <w:sz w:val="24"/>
          <w:szCs w:val="24"/>
          <w:lang w:val="pt-PT"/>
        </w:rPr>
        <w:t>. Acesso em 26 jan. 2012.</w:t>
      </w:r>
    </w:p>
    <w:p w:rsidR="000436A2" w:rsidRDefault="000436A2" w:rsidP="000436A2">
      <w:pPr>
        <w:rPr>
          <w:rFonts w:ascii="Times New Roman" w:hAnsi="Times New Roman" w:cs="Times New Roman"/>
          <w:sz w:val="24"/>
          <w:szCs w:val="24"/>
        </w:rPr>
      </w:pPr>
    </w:p>
    <w:p w:rsidR="000436A2" w:rsidRDefault="000436A2" w:rsidP="000436A2">
      <w:pPr>
        <w:rPr>
          <w:rFonts w:ascii="Times New Roman" w:hAnsi="Times New Roman" w:cs="Times New Roman"/>
          <w:sz w:val="24"/>
          <w:szCs w:val="24"/>
        </w:rPr>
      </w:pPr>
      <w:r w:rsidRPr="0079521F">
        <w:rPr>
          <w:rFonts w:ascii="Times New Roman" w:hAnsi="Times New Roman" w:cs="Times New Roman"/>
          <w:sz w:val="24"/>
          <w:szCs w:val="24"/>
        </w:rPr>
        <w:t xml:space="preserve">MENDES, A. P. A.; COSTA, R. C. </w:t>
      </w:r>
      <w:r w:rsidRPr="00BD0ECB">
        <w:rPr>
          <w:rFonts w:ascii="Times New Roman" w:hAnsi="Times New Roman" w:cs="Times New Roman"/>
          <w:sz w:val="24"/>
          <w:szCs w:val="24"/>
        </w:rPr>
        <w:t>Mercado brasileiro de biodiesel e perspectivas futuras.</w:t>
      </w:r>
      <w:r w:rsidR="00071352">
        <w:rPr>
          <w:rFonts w:ascii="Times New Roman" w:hAnsi="Times New Roman" w:cs="Times New Roman"/>
          <w:sz w:val="24"/>
          <w:szCs w:val="24"/>
        </w:rPr>
        <w:t xml:space="preserve"> </w:t>
      </w:r>
      <w:r w:rsidRPr="00BD0ECB">
        <w:rPr>
          <w:rFonts w:ascii="Times New Roman" w:hAnsi="Times New Roman" w:cs="Times New Roman"/>
          <w:b/>
          <w:sz w:val="24"/>
          <w:szCs w:val="24"/>
        </w:rPr>
        <w:t>BNDES Setorial</w:t>
      </w:r>
      <w:r w:rsidRPr="00C25399">
        <w:rPr>
          <w:rFonts w:ascii="Times New Roman" w:hAnsi="Times New Roman" w:cs="Times New Roman"/>
          <w:sz w:val="24"/>
          <w:szCs w:val="24"/>
        </w:rPr>
        <w:t xml:space="preserve">, </w:t>
      </w:r>
      <w:r>
        <w:rPr>
          <w:rFonts w:ascii="Times New Roman" w:hAnsi="Times New Roman" w:cs="Times New Roman"/>
          <w:sz w:val="24"/>
          <w:szCs w:val="24"/>
        </w:rPr>
        <w:t xml:space="preserve">n. 31, </w:t>
      </w:r>
      <w:r w:rsidR="00BD0ECB" w:rsidRPr="00C25399">
        <w:rPr>
          <w:rFonts w:ascii="Times New Roman" w:hAnsi="Times New Roman" w:cs="Times New Roman"/>
          <w:sz w:val="24"/>
          <w:szCs w:val="24"/>
        </w:rPr>
        <w:t>p. 253-280</w:t>
      </w:r>
      <w:r w:rsidR="00BD0ECB">
        <w:rPr>
          <w:rFonts w:ascii="Times New Roman" w:hAnsi="Times New Roman" w:cs="Times New Roman"/>
          <w:sz w:val="24"/>
          <w:szCs w:val="24"/>
        </w:rPr>
        <w:t xml:space="preserve">, </w:t>
      </w:r>
      <w:r w:rsidRPr="00C25399">
        <w:rPr>
          <w:rFonts w:ascii="Times New Roman" w:hAnsi="Times New Roman" w:cs="Times New Roman"/>
          <w:sz w:val="24"/>
          <w:szCs w:val="24"/>
        </w:rPr>
        <w:t>2010.</w:t>
      </w:r>
    </w:p>
    <w:p w:rsidR="00071352" w:rsidRDefault="00071352" w:rsidP="000436A2">
      <w:pPr>
        <w:rPr>
          <w:rFonts w:ascii="Times New Roman" w:hAnsi="Times New Roman" w:cs="Times New Roman"/>
          <w:sz w:val="24"/>
          <w:szCs w:val="24"/>
        </w:rPr>
      </w:pPr>
    </w:p>
    <w:p w:rsidR="00071352" w:rsidRDefault="00071352" w:rsidP="00071352">
      <w:pPr>
        <w:rPr>
          <w:rFonts w:ascii="Times New Roman" w:hAnsi="Times New Roman" w:cs="Times New Roman"/>
          <w:sz w:val="24"/>
          <w:szCs w:val="24"/>
        </w:rPr>
      </w:pPr>
      <w:r>
        <w:rPr>
          <w:rFonts w:ascii="Times New Roman" w:hAnsi="Times New Roman" w:cs="Times New Roman"/>
          <w:sz w:val="24"/>
          <w:szCs w:val="24"/>
        </w:rPr>
        <w:t xml:space="preserve">MILANEZ, A.; NYKO, D.; GARCIA, J.; REIS, B. </w:t>
      </w:r>
      <w:r w:rsidRPr="00071352">
        <w:rPr>
          <w:rFonts w:ascii="Times New Roman" w:hAnsi="Times New Roman" w:cs="Times New Roman"/>
          <w:sz w:val="24"/>
          <w:szCs w:val="24"/>
        </w:rPr>
        <w:t xml:space="preserve">O déficit de produção </w:t>
      </w:r>
      <w:r>
        <w:rPr>
          <w:rFonts w:ascii="Times New Roman" w:hAnsi="Times New Roman" w:cs="Times New Roman"/>
          <w:sz w:val="24"/>
          <w:szCs w:val="24"/>
        </w:rPr>
        <w:t xml:space="preserve">de etanol no Brasil entre 2012 </w:t>
      </w:r>
      <w:r w:rsidRPr="00071352">
        <w:rPr>
          <w:rFonts w:ascii="Times New Roman" w:hAnsi="Times New Roman" w:cs="Times New Roman"/>
          <w:sz w:val="24"/>
          <w:szCs w:val="24"/>
        </w:rPr>
        <w:t>e 2015</w:t>
      </w:r>
      <w:r>
        <w:rPr>
          <w:rFonts w:ascii="Times New Roman" w:hAnsi="Times New Roman" w:cs="Times New Roman"/>
          <w:sz w:val="24"/>
          <w:szCs w:val="24"/>
        </w:rPr>
        <w:t xml:space="preserve">: determinantes, consequências </w:t>
      </w:r>
      <w:r w:rsidRPr="00071352">
        <w:rPr>
          <w:rFonts w:ascii="Times New Roman" w:hAnsi="Times New Roman" w:cs="Times New Roman"/>
          <w:sz w:val="24"/>
          <w:szCs w:val="24"/>
        </w:rPr>
        <w:t>e sugestões de política</w:t>
      </w:r>
      <w:r>
        <w:rPr>
          <w:rFonts w:ascii="Times New Roman" w:hAnsi="Times New Roman" w:cs="Times New Roman"/>
          <w:sz w:val="24"/>
          <w:szCs w:val="24"/>
        </w:rPr>
        <w:t xml:space="preserve">. </w:t>
      </w:r>
      <w:r w:rsidRPr="00071352">
        <w:rPr>
          <w:rFonts w:ascii="Times New Roman" w:hAnsi="Times New Roman" w:cs="Times New Roman"/>
          <w:b/>
          <w:sz w:val="24"/>
          <w:szCs w:val="24"/>
        </w:rPr>
        <w:t>BNDES Setorial</w:t>
      </w:r>
      <w:r>
        <w:rPr>
          <w:rFonts w:ascii="Times New Roman" w:hAnsi="Times New Roman" w:cs="Times New Roman"/>
          <w:sz w:val="24"/>
          <w:szCs w:val="24"/>
        </w:rPr>
        <w:t>, n. 35, p. 277-302, 2012.</w:t>
      </w:r>
    </w:p>
    <w:p w:rsidR="000436A2" w:rsidRDefault="000436A2" w:rsidP="000436A2">
      <w:pPr>
        <w:rPr>
          <w:rFonts w:ascii="Times New Roman" w:hAnsi="Times New Roman" w:cs="Times New Roman"/>
          <w:sz w:val="24"/>
          <w:szCs w:val="24"/>
        </w:rPr>
      </w:pPr>
    </w:p>
    <w:p w:rsidR="000436A2" w:rsidRDefault="000436A2" w:rsidP="000436A2">
      <w:pPr>
        <w:rPr>
          <w:rFonts w:ascii="Times New Roman" w:hAnsi="Times New Roman" w:cs="Times New Roman"/>
          <w:sz w:val="24"/>
          <w:szCs w:val="24"/>
          <w:lang w:val="pt-PT"/>
        </w:rPr>
      </w:pPr>
      <w:r>
        <w:rPr>
          <w:rFonts w:ascii="Times New Roman" w:hAnsi="Times New Roman" w:cs="Times New Roman"/>
          <w:sz w:val="24"/>
          <w:szCs w:val="24"/>
          <w:lang w:val="pt-PT"/>
        </w:rPr>
        <w:t xml:space="preserve">MME. </w:t>
      </w:r>
      <w:r w:rsidRPr="00FE6279">
        <w:rPr>
          <w:rFonts w:ascii="Times New Roman" w:hAnsi="Times New Roman" w:cs="Times New Roman"/>
          <w:b/>
          <w:sz w:val="24"/>
          <w:szCs w:val="24"/>
          <w:lang w:val="pt-PT"/>
        </w:rPr>
        <w:t>As Políticas Públicas para os Biocombustíveis no Brasil</w:t>
      </w:r>
      <w:r>
        <w:rPr>
          <w:rFonts w:ascii="Times New Roman" w:hAnsi="Times New Roman" w:cs="Times New Roman"/>
          <w:sz w:val="24"/>
          <w:szCs w:val="24"/>
          <w:lang w:val="pt-PT"/>
        </w:rPr>
        <w:t>. Apresentação realizada no V Seminario Latinoamericano y del Caribe de Biocombustible, Santiago, 2010.</w:t>
      </w:r>
    </w:p>
    <w:p w:rsidR="000436A2" w:rsidRDefault="000436A2" w:rsidP="000436A2">
      <w:pPr>
        <w:rPr>
          <w:rFonts w:ascii="Times New Roman" w:hAnsi="Times New Roman" w:cs="Times New Roman"/>
          <w:sz w:val="24"/>
          <w:szCs w:val="24"/>
          <w:lang w:val="pt-PT"/>
        </w:rPr>
      </w:pPr>
    </w:p>
    <w:p w:rsidR="000436A2" w:rsidRPr="00864C27" w:rsidRDefault="000436A2" w:rsidP="000436A2">
      <w:pPr>
        <w:rPr>
          <w:rFonts w:ascii="Times New Roman" w:hAnsi="Times New Roman" w:cs="Times New Roman"/>
          <w:sz w:val="24"/>
          <w:szCs w:val="24"/>
        </w:rPr>
      </w:pPr>
      <w:r>
        <w:rPr>
          <w:rFonts w:ascii="Times New Roman" w:hAnsi="Times New Roman" w:cs="Times New Roman"/>
          <w:sz w:val="24"/>
          <w:szCs w:val="24"/>
          <w:lang w:val="pt-PT"/>
        </w:rPr>
        <w:t>____</w:t>
      </w:r>
      <w:r>
        <w:rPr>
          <w:rFonts w:ascii="Times New Roman" w:hAnsi="Times New Roman" w:cs="Times New Roman"/>
          <w:sz w:val="24"/>
          <w:szCs w:val="24"/>
          <w:lang w:val="pt-PT"/>
        </w:rPr>
        <w:softHyphen/>
      </w:r>
      <w:r>
        <w:rPr>
          <w:rFonts w:ascii="Times New Roman" w:hAnsi="Times New Roman" w:cs="Times New Roman"/>
          <w:sz w:val="24"/>
          <w:szCs w:val="24"/>
          <w:lang w:val="pt-PT"/>
        </w:rPr>
        <w:softHyphen/>
      </w:r>
      <w:r>
        <w:rPr>
          <w:rFonts w:ascii="Times New Roman" w:hAnsi="Times New Roman" w:cs="Times New Roman"/>
          <w:sz w:val="24"/>
          <w:szCs w:val="24"/>
          <w:lang w:val="pt-PT"/>
        </w:rPr>
        <w:softHyphen/>
        <w:t xml:space="preserve">_____. </w:t>
      </w:r>
      <w:r w:rsidRPr="00A16553">
        <w:rPr>
          <w:rFonts w:ascii="Times New Roman" w:hAnsi="Times New Roman" w:cs="Times New Roman"/>
          <w:b/>
          <w:sz w:val="24"/>
          <w:szCs w:val="24"/>
          <w:lang w:val="pt-PT"/>
        </w:rPr>
        <w:t>Boletim Mensal dos Combustíveis Renováveis</w:t>
      </w:r>
      <w:r>
        <w:rPr>
          <w:rFonts w:ascii="Times New Roman" w:hAnsi="Times New Roman" w:cs="Times New Roman"/>
          <w:sz w:val="24"/>
          <w:szCs w:val="24"/>
          <w:lang w:val="pt-PT"/>
        </w:rPr>
        <w:t xml:space="preserve">, Nº 54. Departamento de Combustíveis Renováveis, Secretaria de Petróleo, Gás Natural e Combustíveis Renováveis. Brasília, Jul. 2012. </w:t>
      </w:r>
    </w:p>
    <w:p w:rsidR="000436A2" w:rsidRPr="00864C27" w:rsidRDefault="000436A2" w:rsidP="000436A2">
      <w:pPr>
        <w:rPr>
          <w:rFonts w:ascii="Times New Roman" w:hAnsi="Times New Roman" w:cs="Times New Roman"/>
          <w:sz w:val="24"/>
          <w:szCs w:val="24"/>
          <w:lang w:val="pt-PT"/>
        </w:rPr>
      </w:pPr>
    </w:p>
    <w:p w:rsidR="000436A2" w:rsidRDefault="000436A2" w:rsidP="000436A2">
      <w:pPr>
        <w:rPr>
          <w:rFonts w:ascii="Times New Roman" w:hAnsi="Times New Roman" w:cs="Times New Roman"/>
          <w:sz w:val="24"/>
          <w:szCs w:val="24"/>
          <w:lang w:val="en-US"/>
        </w:rPr>
      </w:pPr>
      <w:r w:rsidRPr="00E42006">
        <w:rPr>
          <w:rFonts w:ascii="Times New Roman" w:hAnsi="Times New Roman" w:cs="Times New Roman"/>
          <w:sz w:val="24"/>
          <w:szCs w:val="24"/>
          <w:lang w:val="pt-PT"/>
        </w:rPr>
        <w:t>NAE. Núcleo de Assuntos Estratégicos da Presidência da Repúb</w:t>
      </w:r>
      <w:r>
        <w:rPr>
          <w:rFonts w:ascii="Times New Roman" w:hAnsi="Times New Roman" w:cs="Times New Roman"/>
          <w:sz w:val="24"/>
          <w:szCs w:val="24"/>
          <w:lang w:val="pt-PT"/>
        </w:rPr>
        <w:t xml:space="preserve">lica. </w:t>
      </w:r>
      <w:r w:rsidR="00BD0ECB" w:rsidRPr="00756A9D">
        <w:rPr>
          <w:rFonts w:ascii="Times New Roman" w:hAnsi="Times New Roman" w:cs="Times New Roman"/>
          <w:sz w:val="24"/>
          <w:szCs w:val="24"/>
          <w:lang w:val="en-US"/>
        </w:rPr>
        <w:t xml:space="preserve">Brasília: </w:t>
      </w:r>
      <w:r w:rsidRPr="00E42006">
        <w:rPr>
          <w:rFonts w:ascii="Times New Roman" w:hAnsi="Times New Roman" w:cs="Times New Roman"/>
          <w:b/>
          <w:sz w:val="24"/>
          <w:szCs w:val="24"/>
          <w:lang w:val="en-US"/>
        </w:rPr>
        <w:t>Cadernos NAE 10 – Relatório Matriz de Combustíveis</w:t>
      </w:r>
      <w:r>
        <w:rPr>
          <w:rFonts w:ascii="Times New Roman" w:hAnsi="Times New Roman" w:cs="Times New Roman"/>
          <w:sz w:val="24"/>
          <w:szCs w:val="24"/>
          <w:lang w:val="en-US"/>
        </w:rPr>
        <w:t>, 2007.</w:t>
      </w:r>
    </w:p>
    <w:p w:rsidR="000436A2" w:rsidRDefault="000436A2" w:rsidP="000436A2">
      <w:pPr>
        <w:rPr>
          <w:rFonts w:ascii="Times New Roman" w:hAnsi="Times New Roman" w:cs="Times New Roman"/>
          <w:sz w:val="24"/>
          <w:szCs w:val="24"/>
          <w:lang w:val="en-US"/>
        </w:rPr>
      </w:pPr>
    </w:p>
    <w:p w:rsidR="000436A2" w:rsidRPr="00E32819" w:rsidRDefault="000436A2" w:rsidP="000436A2">
      <w:pPr>
        <w:spacing w:after="240"/>
        <w:rPr>
          <w:rFonts w:ascii="Times New Roman" w:hAnsi="Times New Roman" w:cs="Times New Roman"/>
          <w:sz w:val="24"/>
          <w:szCs w:val="24"/>
          <w:lang w:val="en-US"/>
        </w:rPr>
      </w:pPr>
      <w:r w:rsidRPr="00D9000A">
        <w:rPr>
          <w:rFonts w:ascii="Times New Roman" w:hAnsi="Times New Roman" w:cs="Times New Roman"/>
          <w:sz w:val="24"/>
          <w:szCs w:val="24"/>
          <w:lang w:val="en-US"/>
        </w:rPr>
        <w:t xml:space="preserve">NELSON, R. The Co-evolution of Technology, Industrial Structure and Supporting Institutions. </w:t>
      </w:r>
      <w:r w:rsidRPr="00E32819">
        <w:rPr>
          <w:rFonts w:ascii="Times New Roman" w:hAnsi="Times New Roman" w:cs="Times New Roman"/>
          <w:b/>
          <w:sz w:val="24"/>
          <w:szCs w:val="24"/>
          <w:lang w:val="en-US"/>
        </w:rPr>
        <w:t>Industrial and Corporate Change</w:t>
      </w:r>
      <w:r w:rsidRPr="00E32819">
        <w:rPr>
          <w:rFonts w:ascii="Times New Roman" w:hAnsi="Times New Roman" w:cs="Times New Roman"/>
          <w:sz w:val="24"/>
          <w:szCs w:val="24"/>
          <w:lang w:val="en-US"/>
        </w:rPr>
        <w:t>, v. 3, n. 1, 1994.</w:t>
      </w:r>
    </w:p>
    <w:p w:rsidR="000436A2" w:rsidRDefault="000436A2" w:rsidP="000436A2">
      <w:pPr>
        <w:spacing w:after="240"/>
        <w:rPr>
          <w:rFonts w:ascii="Times New Roman" w:hAnsi="Times New Roman" w:cs="Times New Roman"/>
          <w:sz w:val="24"/>
          <w:szCs w:val="24"/>
          <w:lang w:val="en-US"/>
        </w:rPr>
      </w:pPr>
      <w:r w:rsidRPr="00252394">
        <w:rPr>
          <w:rFonts w:ascii="Times New Roman" w:hAnsi="Times New Roman" w:cs="Times New Roman"/>
          <w:sz w:val="24"/>
          <w:szCs w:val="24"/>
          <w:lang w:val="en-US"/>
        </w:rPr>
        <w:t xml:space="preserve">_________. </w:t>
      </w:r>
      <w:r w:rsidRPr="00252394">
        <w:rPr>
          <w:rFonts w:ascii="Times New Roman" w:hAnsi="Times New Roman" w:cs="Times New Roman"/>
          <w:b/>
          <w:sz w:val="24"/>
          <w:szCs w:val="24"/>
          <w:lang w:val="en-US"/>
        </w:rPr>
        <w:t>Institutions, Social Technologies and Economic Progress</w:t>
      </w:r>
      <w:r w:rsidRPr="00252394">
        <w:rPr>
          <w:rFonts w:ascii="Times New Roman" w:hAnsi="Times New Roman" w:cs="Times New Roman"/>
          <w:sz w:val="24"/>
          <w:szCs w:val="24"/>
          <w:lang w:val="en-US"/>
        </w:rPr>
        <w:t>, Globelics Working Paper Series, 34 p., 2007.</w:t>
      </w:r>
    </w:p>
    <w:p w:rsidR="000436A2" w:rsidRDefault="000436A2" w:rsidP="000436A2">
      <w:pPr>
        <w:rPr>
          <w:rFonts w:ascii="Times New Roman" w:hAnsi="Times New Roman" w:cs="Times New Roman"/>
          <w:sz w:val="24"/>
          <w:szCs w:val="24"/>
        </w:rPr>
      </w:pPr>
      <w:r>
        <w:rPr>
          <w:rFonts w:ascii="Times New Roman" w:hAnsi="Times New Roman" w:cs="Times New Roman"/>
          <w:sz w:val="24"/>
          <w:szCs w:val="24"/>
          <w:lang w:val="en-US"/>
        </w:rPr>
        <w:t xml:space="preserve">__________. </w:t>
      </w:r>
      <w:r w:rsidRPr="00864C27">
        <w:rPr>
          <w:rFonts w:ascii="Times New Roman" w:hAnsi="Times New Roman" w:cs="Times New Roman"/>
          <w:sz w:val="24"/>
          <w:szCs w:val="24"/>
          <w:lang w:val="en-US"/>
        </w:rPr>
        <w:t>What enables rapid economic progress: What are the needed institutions?</w:t>
      </w:r>
      <w:r w:rsidRPr="00CC0EE7">
        <w:rPr>
          <w:rFonts w:ascii="Times New Roman" w:hAnsi="Times New Roman" w:cs="Times New Roman"/>
          <w:sz w:val="24"/>
          <w:szCs w:val="24"/>
          <w:lang w:val="en-US"/>
        </w:rPr>
        <w:t xml:space="preserve"> </w:t>
      </w:r>
      <w:r w:rsidRPr="00864C27">
        <w:rPr>
          <w:rFonts w:ascii="Times New Roman" w:hAnsi="Times New Roman" w:cs="Times New Roman"/>
          <w:b/>
          <w:sz w:val="24"/>
          <w:szCs w:val="24"/>
        </w:rPr>
        <w:t>Research Policy</w:t>
      </w:r>
      <w:r>
        <w:rPr>
          <w:rFonts w:ascii="Times New Roman" w:hAnsi="Times New Roman" w:cs="Times New Roman"/>
          <w:sz w:val="24"/>
          <w:szCs w:val="24"/>
        </w:rPr>
        <w:t xml:space="preserve">, n. 37, </w:t>
      </w:r>
      <w:r w:rsidR="00BD0ECB">
        <w:rPr>
          <w:rFonts w:ascii="Times New Roman" w:hAnsi="Times New Roman" w:cs="Times New Roman"/>
          <w:sz w:val="24"/>
          <w:szCs w:val="24"/>
        </w:rPr>
        <w:t>p. 1-11, 2008</w:t>
      </w:r>
      <w:r>
        <w:rPr>
          <w:rFonts w:ascii="Times New Roman" w:hAnsi="Times New Roman" w:cs="Times New Roman"/>
          <w:sz w:val="24"/>
          <w:szCs w:val="24"/>
        </w:rPr>
        <w:t>.</w:t>
      </w:r>
    </w:p>
    <w:p w:rsidR="00577018" w:rsidRDefault="00577018" w:rsidP="00577018">
      <w:pPr>
        <w:rPr>
          <w:rFonts w:ascii="Times New Roman" w:hAnsi="Times New Roman" w:cs="Times New Roman"/>
          <w:sz w:val="24"/>
          <w:szCs w:val="24"/>
        </w:rPr>
      </w:pPr>
    </w:p>
    <w:p w:rsidR="00577018" w:rsidRPr="00756A9D" w:rsidRDefault="000436A2" w:rsidP="00577018">
      <w:pPr>
        <w:rPr>
          <w:rFonts w:ascii="Times New Roman" w:hAnsi="Times New Roman" w:cs="Times New Roman"/>
          <w:sz w:val="24"/>
          <w:szCs w:val="24"/>
        </w:rPr>
      </w:pPr>
      <w:r>
        <w:rPr>
          <w:rFonts w:ascii="Times New Roman" w:hAnsi="Times New Roman" w:cs="Times New Roman"/>
          <w:sz w:val="24"/>
          <w:szCs w:val="24"/>
        </w:rPr>
        <w:t>NELSON, R.;</w:t>
      </w:r>
      <w:r w:rsidRPr="00867755">
        <w:rPr>
          <w:rFonts w:ascii="Times New Roman" w:hAnsi="Times New Roman" w:cs="Times New Roman"/>
          <w:sz w:val="24"/>
          <w:szCs w:val="24"/>
        </w:rPr>
        <w:t xml:space="preserve"> WINTER, S.</w:t>
      </w:r>
      <w:r w:rsidRPr="00577018">
        <w:rPr>
          <w:rFonts w:ascii="Times New Roman" w:hAnsi="Times New Roman" w:cs="Times New Roman"/>
          <w:sz w:val="24"/>
          <w:szCs w:val="24"/>
        </w:rPr>
        <w:t xml:space="preserve"> </w:t>
      </w:r>
      <w:r w:rsidR="00577018" w:rsidRPr="00577018">
        <w:rPr>
          <w:rFonts w:ascii="Times New Roman" w:hAnsi="Times New Roman" w:cs="Times New Roman"/>
          <w:sz w:val="24"/>
          <w:szCs w:val="24"/>
        </w:rPr>
        <w:t>Uma teoria evolucionária da mudança e</w:t>
      </w:r>
      <w:r w:rsidRPr="00577018">
        <w:rPr>
          <w:rFonts w:ascii="Times New Roman" w:hAnsi="Times New Roman" w:cs="Times New Roman"/>
          <w:sz w:val="24"/>
          <w:szCs w:val="24"/>
        </w:rPr>
        <w:t xml:space="preserve">conômica. Campinas, São Paulo: Unicamp, 2005. </w:t>
      </w:r>
      <w:r w:rsidR="00577018" w:rsidRPr="00756A9D">
        <w:rPr>
          <w:rFonts w:ascii="Times New Roman" w:hAnsi="Times New Roman" w:cs="Times New Roman"/>
          <w:sz w:val="24"/>
          <w:szCs w:val="24"/>
        </w:rPr>
        <w:t>(Tradução d</w:t>
      </w:r>
      <w:r w:rsidR="00357E73" w:rsidRPr="00756A9D">
        <w:rPr>
          <w:rFonts w:ascii="Times New Roman" w:hAnsi="Times New Roman" w:cs="Times New Roman"/>
          <w:sz w:val="24"/>
          <w:szCs w:val="24"/>
        </w:rPr>
        <w:t>e Cláudia Heller do</w:t>
      </w:r>
      <w:r w:rsidR="00577018" w:rsidRPr="00756A9D">
        <w:rPr>
          <w:rFonts w:ascii="Times New Roman" w:hAnsi="Times New Roman" w:cs="Times New Roman"/>
          <w:sz w:val="24"/>
          <w:szCs w:val="24"/>
        </w:rPr>
        <w:t xml:space="preserve"> original </w:t>
      </w:r>
      <w:r w:rsidR="00577018" w:rsidRPr="00756A9D">
        <w:rPr>
          <w:rFonts w:ascii="Times New Roman" w:hAnsi="Times New Roman" w:cs="Times New Roman"/>
          <w:b/>
          <w:sz w:val="24"/>
          <w:szCs w:val="24"/>
        </w:rPr>
        <w:t>An evolutionary theory of economic change</w:t>
      </w:r>
      <w:r w:rsidR="00577018" w:rsidRPr="00756A9D">
        <w:rPr>
          <w:rFonts w:ascii="Times New Roman" w:hAnsi="Times New Roman" w:cs="Times New Roman"/>
          <w:sz w:val="24"/>
          <w:szCs w:val="24"/>
        </w:rPr>
        <w:t xml:space="preserve">. </w:t>
      </w:r>
      <w:r w:rsidR="00357E73" w:rsidRPr="00756A9D">
        <w:rPr>
          <w:rFonts w:ascii="Times New Roman" w:hAnsi="Times New Roman" w:cs="Times New Roman"/>
          <w:sz w:val="24"/>
          <w:szCs w:val="24"/>
        </w:rPr>
        <w:t>Cambridge, Mass.</w:t>
      </w:r>
      <w:r w:rsidR="00577018" w:rsidRPr="00756A9D">
        <w:rPr>
          <w:rFonts w:ascii="Times New Roman" w:hAnsi="Times New Roman" w:cs="Times New Roman"/>
          <w:sz w:val="24"/>
          <w:szCs w:val="24"/>
        </w:rPr>
        <w:t>: Harvard University Press, 1982.)</w:t>
      </w:r>
    </w:p>
    <w:p w:rsidR="000436A2" w:rsidRPr="00756A9D" w:rsidRDefault="000436A2" w:rsidP="000436A2">
      <w:pPr>
        <w:rPr>
          <w:rFonts w:ascii="Times New Roman" w:hAnsi="Times New Roman" w:cs="Times New Roman"/>
          <w:color w:val="FF0000"/>
          <w:sz w:val="24"/>
          <w:szCs w:val="24"/>
        </w:rPr>
      </w:pPr>
    </w:p>
    <w:p w:rsidR="000436A2" w:rsidRDefault="000436A2" w:rsidP="000436A2">
      <w:pPr>
        <w:rPr>
          <w:rFonts w:ascii="Times New Roman" w:hAnsi="Times New Roman" w:cs="Times New Roman"/>
          <w:sz w:val="24"/>
          <w:szCs w:val="24"/>
        </w:rPr>
      </w:pPr>
      <w:r w:rsidRPr="008E6A5F">
        <w:rPr>
          <w:rFonts w:ascii="Times New Roman" w:hAnsi="Times New Roman" w:cs="Times New Roman"/>
          <w:sz w:val="24"/>
          <w:szCs w:val="24"/>
          <w:lang w:val="en-US"/>
        </w:rPr>
        <w:t xml:space="preserve">NORTH, D. </w:t>
      </w:r>
      <w:r w:rsidRPr="008E6A5F">
        <w:rPr>
          <w:rFonts w:ascii="Times New Roman" w:hAnsi="Times New Roman" w:cs="Times New Roman"/>
          <w:b/>
          <w:sz w:val="24"/>
          <w:szCs w:val="24"/>
          <w:lang w:val="en-US"/>
        </w:rPr>
        <w:t>Institutions, institutional change and economic performance</w:t>
      </w:r>
      <w:r w:rsidRPr="008E6A5F">
        <w:rPr>
          <w:rFonts w:ascii="Times New Roman" w:hAnsi="Times New Roman" w:cs="Times New Roman"/>
          <w:sz w:val="24"/>
          <w:szCs w:val="24"/>
          <w:lang w:val="en-US"/>
        </w:rPr>
        <w:t xml:space="preserve">. </w:t>
      </w:r>
      <w:r w:rsidRPr="00E02F11">
        <w:rPr>
          <w:rFonts w:ascii="Times New Roman" w:hAnsi="Times New Roman" w:cs="Times New Roman"/>
          <w:sz w:val="24"/>
          <w:szCs w:val="24"/>
        </w:rPr>
        <w:t>Cambridge: Cambridge University Press, 1990.</w:t>
      </w:r>
    </w:p>
    <w:p w:rsidR="000436A2" w:rsidRPr="00E02F11" w:rsidRDefault="000436A2" w:rsidP="000436A2">
      <w:pPr>
        <w:rPr>
          <w:rFonts w:ascii="Times New Roman" w:hAnsi="Times New Roman" w:cs="Times New Roman"/>
          <w:sz w:val="24"/>
          <w:szCs w:val="24"/>
        </w:rPr>
      </w:pPr>
    </w:p>
    <w:p w:rsidR="000436A2" w:rsidRDefault="000436A2" w:rsidP="000436A2">
      <w:pPr>
        <w:rPr>
          <w:rFonts w:ascii="Times New Roman" w:hAnsi="Times New Roman" w:cs="Times New Roman"/>
          <w:sz w:val="24"/>
          <w:szCs w:val="24"/>
        </w:rPr>
      </w:pPr>
      <w:r>
        <w:rPr>
          <w:rFonts w:ascii="Times New Roman" w:hAnsi="Times New Roman" w:cs="Times New Roman"/>
          <w:sz w:val="24"/>
          <w:szCs w:val="24"/>
        </w:rPr>
        <w:t xml:space="preserve">NYKO, D. et al. A corrida tecnológica pelos biocombustíveis de segunda geração: uma perspectiva comparada. </w:t>
      </w:r>
      <w:r w:rsidRPr="00F87468">
        <w:rPr>
          <w:rFonts w:ascii="Times New Roman" w:hAnsi="Times New Roman" w:cs="Times New Roman"/>
          <w:b/>
          <w:sz w:val="24"/>
          <w:szCs w:val="24"/>
        </w:rPr>
        <w:t>BNDES Setorial</w:t>
      </w:r>
      <w:r w:rsidRPr="00F87468">
        <w:rPr>
          <w:rFonts w:ascii="Times New Roman" w:hAnsi="Times New Roman" w:cs="Times New Roman"/>
          <w:sz w:val="24"/>
          <w:szCs w:val="24"/>
        </w:rPr>
        <w:t>, n. 32,</w:t>
      </w:r>
      <w:r>
        <w:rPr>
          <w:rFonts w:ascii="Times New Roman" w:hAnsi="Times New Roman" w:cs="Times New Roman"/>
          <w:sz w:val="24"/>
          <w:szCs w:val="24"/>
        </w:rPr>
        <w:t xml:space="preserve"> </w:t>
      </w:r>
      <w:r w:rsidR="00BD0ECB">
        <w:rPr>
          <w:rFonts w:ascii="Times New Roman" w:hAnsi="Times New Roman" w:cs="Times New Roman"/>
          <w:sz w:val="24"/>
          <w:szCs w:val="24"/>
        </w:rPr>
        <w:t>p. 5-48, 2010</w:t>
      </w:r>
      <w:r w:rsidRPr="00F87468">
        <w:rPr>
          <w:rFonts w:ascii="Times New Roman" w:hAnsi="Times New Roman" w:cs="Times New Roman"/>
          <w:sz w:val="24"/>
          <w:szCs w:val="24"/>
        </w:rPr>
        <w:t>.</w:t>
      </w:r>
    </w:p>
    <w:p w:rsidR="000436A2" w:rsidRPr="00F87468" w:rsidRDefault="000436A2" w:rsidP="000436A2">
      <w:pPr>
        <w:rPr>
          <w:rFonts w:ascii="Times New Roman" w:hAnsi="Times New Roman" w:cs="Times New Roman"/>
          <w:sz w:val="24"/>
          <w:szCs w:val="24"/>
        </w:rPr>
      </w:pPr>
    </w:p>
    <w:p w:rsidR="000436A2" w:rsidRPr="000F2CA6" w:rsidRDefault="000436A2" w:rsidP="000436A2">
      <w:pPr>
        <w:rPr>
          <w:rFonts w:ascii="Times New Roman" w:hAnsi="Times New Roman" w:cs="Times New Roman"/>
          <w:sz w:val="24"/>
          <w:szCs w:val="24"/>
        </w:rPr>
      </w:pPr>
      <w:r w:rsidRPr="00F87468">
        <w:rPr>
          <w:rFonts w:ascii="Times New Roman" w:hAnsi="Times New Roman" w:cs="Times New Roman"/>
          <w:sz w:val="24"/>
          <w:szCs w:val="24"/>
        </w:rPr>
        <w:t xml:space="preserve">OCDE. </w:t>
      </w:r>
      <w:r w:rsidRPr="007E18E7">
        <w:rPr>
          <w:rFonts w:ascii="Times New Roman" w:hAnsi="Times New Roman" w:cs="Times New Roman"/>
          <w:sz w:val="24"/>
          <w:szCs w:val="24"/>
        </w:rPr>
        <w:t xml:space="preserve">Organização </w:t>
      </w:r>
      <w:r>
        <w:rPr>
          <w:rFonts w:ascii="Times New Roman" w:hAnsi="Times New Roman" w:cs="Times New Roman"/>
          <w:sz w:val="24"/>
          <w:szCs w:val="24"/>
        </w:rPr>
        <w:t xml:space="preserve">para </w:t>
      </w:r>
      <w:r w:rsidRPr="007E18E7">
        <w:rPr>
          <w:rFonts w:ascii="Times New Roman" w:hAnsi="Times New Roman" w:cs="Times New Roman"/>
          <w:sz w:val="24"/>
          <w:szCs w:val="24"/>
        </w:rPr>
        <w:t xml:space="preserve">Cooperação </w:t>
      </w:r>
      <w:r>
        <w:rPr>
          <w:rFonts w:ascii="Times New Roman" w:hAnsi="Times New Roman" w:cs="Times New Roman"/>
          <w:sz w:val="24"/>
          <w:szCs w:val="24"/>
        </w:rPr>
        <w:t>e</w:t>
      </w:r>
      <w:r w:rsidRPr="007E18E7">
        <w:rPr>
          <w:rFonts w:ascii="Times New Roman" w:hAnsi="Times New Roman" w:cs="Times New Roman"/>
          <w:sz w:val="24"/>
          <w:szCs w:val="24"/>
        </w:rPr>
        <w:t xml:space="preserve"> Desenvo</w:t>
      </w:r>
      <w:r>
        <w:rPr>
          <w:rFonts w:ascii="Times New Roman" w:hAnsi="Times New Roman" w:cs="Times New Roman"/>
          <w:sz w:val="24"/>
          <w:szCs w:val="24"/>
        </w:rPr>
        <w:t xml:space="preserve">lvimento Econômico. </w:t>
      </w:r>
      <w:r w:rsidRPr="007E18E7">
        <w:rPr>
          <w:rFonts w:ascii="Times New Roman" w:hAnsi="Times New Roman" w:cs="Times New Roman"/>
          <w:b/>
          <w:sz w:val="24"/>
          <w:szCs w:val="24"/>
          <w:lang w:val="en-US"/>
        </w:rPr>
        <w:t>Biofuels support policies: an economic assessment</w:t>
      </w:r>
      <w:r w:rsidRPr="007E18E7">
        <w:rPr>
          <w:rFonts w:ascii="Times New Roman" w:hAnsi="Times New Roman" w:cs="Times New Roman"/>
          <w:sz w:val="24"/>
          <w:szCs w:val="24"/>
          <w:lang w:val="en-US"/>
        </w:rPr>
        <w:t xml:space="preserve">. </w:t>
      </w:r>
      <w:r w:rsidRPr="000F2CA6">
        <w:rPr>
          <w:rFonts w:ascii="Times New Roman" w:hAnsi="Times New Roman" w:cs="Times New Roman"/>
          <w:sz w:val="24"/>
          <w:szCs w:val="24"/>
        </w:rPr>
        <w:t>Paris: OCDE, 2008.</w:t>
      </w:r>
    </w:p>
    <w:p w:rsidR="000436A2" w:rsidRPr="000F2CA6" w:rsidRDefault="000436A2" w:rsidP="000436A2">
      <w:pPr>
        <w:rPr>
          <w:rFonts w:ascii="Times New Roman" w:hAnsi="Times New Roman" w:cs="Times New Roman"/>
          <w:sz w:val="24"/>
          <w:szCs w:val="24"/>
        </w:rPr>
      </w:pPr>
    </w:p>
    <w:p w:rsidR="000436A2" w:rsidRPr="00524A9B" w:rsidRDefault="000436A2" w:rsidP="000436A2">
      <w:pPr>
        <w:rPr>
          <w:rFonts w:ascii="Times New Roman" w:hAnsi="Times New Roman" w:cs="Times New Roman"/>
          <w:sz w:val="24"/>
          <w:szCs w:val="24"/>
        </w:rPr>
      </w:pPr>
      <w:r w:rsidRPr="000F2CA6">
        <w:rPr>
          <w:rFonts w:ascii="Times New Roman" w:hAnsi="Times New Roman" w:cs="Times New Roman"/>
          <w:sz w:val="24"/>
          <w:szCs w:val="24"/>
        </w:rPr>
        <w:t>OCDE</w:t>
      </w:r>
      <w:r>
        <w:rPr>
          <w:rFonts w:ascii="Times New Roman" w:hAnsi="Times New Roman" w:cs="Times New Roman"/>
          <w:sz w:val="24"/>
          <w:szCs w:val="24"/>
        </w:rPr>
        <w:t xml:space="preserve">; FAO. </w:t>
      </w:r>
      <w:r w:rsidRPr="007E18E7">
        <w:rPr>
          <w:rFonts w:ascii="Times New Roman" w:hAnsi="Times New Roman" w:cs="Times New Roman"/>
          <w:sz w:val="24"/>
          <w:szCs w:val="24"/>
        </w:rPr>
        <w:t xml:space="preserve">Organização </w:t>
      </w:r>
      <w:r>
        <w:rPr>
          <w:rFonts w:ascii="Times New Roman" w:hAnsi="Times New Roman" w:cs="Times New Roman"/>
          <w:sz w:val="24"/>
          <w:szCs w:val="24"/>
        </w:rPr>
        <w:t xml:space="preserve">para </w:t>
      </w:r>
      <w:r w:rsidRPr="007E18E7">
        <w:rPr>
          <w:rFonts w:ascii="Times New Roman" w:hAnsi="Times New Roman" w:cs="Times New Roman"/>
          <w:sz w:val="24"/>
          <w:szCs w:val="24"/>
        </w:rPr>
        <w:t xml:space="preserve">Cooperação </w:t>
      </w:r>
      <w:r>
        <w:rPr>
          <w:rFonts w:ascii="Times New Roman" w:hAnsi="Times New Roman" w:cs="Times New Roman"/>
          <w:sz w:val="24"/>
          <w:szCs w:val="24"/>
        </w:rPr>
        <w:t>e</w:t>
      </w:r>
      <w:r w:rsidRPr="007E18E7">
        <w:rPr>
          <w:rFonts w:ascii="Times New Roman" w:hAnsi="Times New Roman" w:cs="Times New Roman"/>
          <w:sz w:val="24"/>
          <w:szCs w:val="24"/>
        </w:rPr>
        <w:t xml:space="preserve"> Desenvo</w:t>
      </w:r>
      <w:r>
        <w:rPr>
          <w:rFonts w:ascii="Times New Roman" w:hAnsi="Times New Roman" w:cs="Times New Roman"/>
          <w:sz w:val="24"/>
          <w:szCs w:val="24"/>
        </w:rPr>
        <w:t xml:space="preserve">lvimento Econômico; </w:t>
      </w:r>
      <w:r w:rsidR="00884E22">
        <w:rPr>
          <w:rFonts w:ascii="Times New Roman" w:hAnsi="Times New Roman" w:cs="Times New Roman"/>
          <w:sz w:val="24"/>
          <w:szCs w:val="24"/>
        </w:rPr>
        <w:t xml:space="preserve">Organização das Nações Unidas para a Agricultura e Alimentação. </w:t>
      </w:r>
      <w:r w:rsidRPr="00FD701C">
        <w:rPr>
          <w:rFonts w:ascii="Times New Roman" w:hAnsi="Times New Roman" w:cs="Times New Roman"/>
          <w:b/>
          <w:sz w:val="24"/>
          <w:szCs w:val="24"/>
        </w:rPr>
        <w:t>OECD-FAO Agricultural Outlook 2012-2021</w:t>
      </w:r>
      <w:r w:rsidRPr="00FD701C">
        <w:rPr>
          <w:rFonts w:ascii="Times New Roman" w:hAnsi="Times New Roman" w:cs="Times New Roman"/>
          <w:sz w:val="24"/>
          <w:szCs w:val="24"/>
        </w:rPr>
        <w:t xml:space="preserve">, OECD Publishing and FAO, 2012. </w:t>
      </w:r>
      <w:r w:rsidRPr="00524A9B">
        <w:rPr>
          <w:rFonts w:ascii="Times New Roman" w:hAnsi="Times New Roman" w:cs="Times New Roman"/>
          <w:sz w:val="24"/>
          <w:szCs w:val="24"/>
        </w:rPr>
        <w:t xml:space="preserve">Disponível em: </w:t>
      </w:r>
      <w:hyperlink r:id="rId48" w:history="1">
        <w:r w:rsidRPr="00524A9B">
          <w:rPr>
            <w:rStyle w:val="Hyperlink"/>
            <w:rFonts w:ascii="Times New Roman" w:hAnsi="Times New Roman"/>
            <w:sz w:val="24"/>
            <w:szCs w:val="24"/>
          </w:rPr>
          <w:t>www.agri-outlook.org</w:t>
        </w:r>
      </w:hyperlink>
      <w:r w:rsidRPr="00524A9B">
        <w:rPr>
          <w:rFonts w:ascii="Times New Roman" w:hAnsi="Times New Roman" w:cs="Times New Roman"/>
          <w:sz w:val="24"/>
          <w:szCs w:val="24"/>
        </w:rPr>
        <w:t>. Acesso em: 23 jul. 2012.</w:t>
      </w:r>
    </w:p>
    <w:p w:rsidR="000436A2" w:rsidRPr="00524A9B" w:rsidRDefault="000436A2" w:rsidP="000436A2">
      <w:pPr>
        <w:rPr>
          <w:rFonts w:ascii="Times New Roman" w:hAnsi="Times New Roman" w:cs="Times New Roman"/>
          <w:sz w:val="24"/>
          <w:szCs w:val="24"/>
        </w:rPr>
      </w:pPr>
    </w:p>
    <w:p w:rsidR="000436A2" w:rsidRPr="00E32819" w:rsidRDefault="000436A2" w:rsidP="000436A2">
      <w:pPr>
        <w:rPr>
          <w:rFonts w:ascii="Times New Roman" w:hAnsi="Times New Roman" w:cs="Times New Roman"/>
          <w:sz w:val="24"/>
          <w:szCs w:val="24"/>
          <w:lang w:val="en-US"/>
        </w:rPr>
      </w:pPr>
      <w:r>
        <w:rPr>
          <w:rFonts w:ascii="Times New Roman" w:hAnsi="Times New Roman" w:cs="Times New Roman"/>
          <w:sz w:val="24"/>
          <w:szCs w:val="24"/>
        </w:rPr>
        <w:t>OLIVEIRA, L. J. M</w:t>
      </w:r>
      <w:r w:rsidRPr="004B2D6B">
        <w:rPr>
          <w:rFonts w:ascii="Times New Roman" w:hAnsi="Times New Roman" w:cs="Times New Roman"/>
          <w:sz w:val="24"/>
          <w:szCs w:val="24"/>
        </w:rPr>
        <w:t xml:space="preserve">. Prolegômenos da atividade regulatória brasileira. In: </w:t>
      </w:r>
      <w:r w:rsidRPr="004B2D6B">
        <w:rPr>
          <w:rFonts w:ascii="Times New Roman" w:hAnsi="Times New Roman" w:cs="Times New Roman"/>
          <w:b/>
          <w:sz w:val="24"/>
          <w:szCs w:val="24"/>
        </w:rPr>
        <w:t>Âmbito Jurídico</w:t>
      </w:r>
      <w:r w:rsidRPr="004B2D6B">
        <w:rPr>
          <w:rFonts w:ascii="Times New Roman" w:hAnsi="Times New Roman" w:cs="Times New Roman"/>
          <w:sz w:val="24"/>
          <w:szCs w:val="24"/>
        </w:rPr>
        <w:t xml:space="preserve">, Rio Grande, VIII, n. </w:t>
      </w:r>
      <w:r>
        <w:rPr>
          <w:rFonts w:ascii="Times New Roman" w:hAnsi="Times New Roman" w:cs="Times New Roman"/>
          <w:sz w:val="24"/>
          <w:szCs w:val="24"/>
        </w:rPr>
        <w:t xml:space="preserve">21, mai. 2005. Disponível em: </w:t>
      </w:r>
      <w:hyperlink r:id="rId49" w:history="1">
        <w:r w:rsidRPr="00362A15">
          <w:rPr>
            <w:rStyle w:val="Hyperlink"/>
            <w:rFonts w:ascii="Times New Roman" w:hAnsi="Times New Roman"/>
            <w:sz w:val="24"/>
            <w:szCs w:val="24"/>
          </w:rPr>
          <w:t>http://www.ambito-juridico.com.br/site/index.php?n_link=revista_artigos_leitura&amp;artigo_id=556</w:t>
        </w:r>
      </w:hyperlink>
      <w:r>
        <w:rPr>
          <w:rFonts w:ascii="Times New Roman" w:hAnsi="Times New Roman" w:cs="Times New Roman"/>
          <w:sz w:val="24"/>
          <w:szCs w:val="24"/>
        </w:rPr>
        <w:t>.</w:t>
      </w:r>
      <w:r w:rsidRPr="004B2D6B">
        <w:rPr>
          <w:rFonts w:ascii="Times New Roman" w:hAnsi="Times New Roman" w:cs="Times New Roman"/>
          <w:sz w:val="24"/>
          <w:szCs w:val="24"/>
        </w:rPr>
        <w:t xml:space="preserve"> </w:t>
      </w:r>
      <w:r w:rsidRPr="00E32819">
        <w:rPr>
          <w:rFonts w:ascii="Times New Roman" w:hAnsi="Times New Roman" w:cs="Times New Roman"/>
          <w:sz w:val="24"/>
          <w:szCs w:val="24"/>
          <w:lang w:val="en-US"/>
        </w:rPr>
        <w:t>Acesso em 10 jul. 2012.</w:t>
      </w:r>
    </w:p>
    <w:p w:rsidR="000436A2" w:rsidRPr="00E32819" w:rsidRDefault="000436A2" w:rsidP="000436A2">
      <w:pPr>
        <w:rPr>
          <w:rFonts w:ascii="Times New Roman" w:hAnsi="Times New Roman" w:cs="Times New Roman"/>
          <w:sz w:val="24"/>
          <w:szCs w:val="24"/>
          <w:lang w:val="en-US"/>
        </w:rPr>
      </w:pPr>
    </w:p>
    <w:p w:rsidR="000436A2" w:rsidRPr="00756A9D" w:rsidRDefault="000436A2" w:rsidP="000436A2">
      <w:pPr>
        <w:rPr>
          <w:rFonts w:ascii="Times New Roman" w:hAnsi="Times New Roman" w:cs="Times New Roman"/>
          <w:sz w:val="24"/>
          <w:szCs w:val="24"/>
          <w:lang w:val="en-US"/>
        </w:rPr>
      </w:pPr>
      <w:r w:rsidRPr="004B2D6B">
        <w:rPr>
          <w:rFonts w:ascii="Times New Roman" w:hAnsi="Times New Roman" w:cs="Times New Roman"/>
          <w:sz w:val="24"/>
          <w:szCs w:val="24"/>
          <w:lang w:val="en-US"/>
        </w:rPr>
        <w:t xml:space="preserve">OPIS. Oil Price Information Service. </w:t>
      </w:r>
      <w:r w:rsidRPr="004B2D6B">
        <w:rPr>
          <w:rFonts w:ascii="Times New Roman" w:hAnsi="Times New Roman" w:cs="Times New Roman"/>
          <w:b/>
          <w:sz w:val="24"/>
          <w:szCs w:val="24"/>
          <w:lang w:val="en-US"/>
        </w:rPr>
        <w:t>Understanding Recent Changes in Biofuels Policy</w:t>
      </w:r>
      <w:r w:rsidRPr="004B2D6B">
        <w:rPr>
          <w:rFonts w:ascii="Times New Roman" w:hAnsi="Times New Roman" w:cs="Times New Roman"/>
          <w:sz w:val="24"/>
          <w:szCs w:val="24"/>
          <w:lang w:val="en-US"/>
        </w:rPr>
        <w:t xml:space="preserve">. </w:t>
      </w:r>
      <w:r w:rsidRPr="00E32819">
        <w:rPr>
          <w:rFonts w:ascii="Times New Roman" w:hAnsi="Times New Roman" w:cs="Times New Roman"/>
          <w:sz w:val="24"/>
          <w:szCs w:val="24"/>
        </w:rPr>
        <w:t>OPIS White Papers. Fevereiro, 2011. Dispo</w:t>
      </w:r>
      <w:r w:rsidRPr="006E0DFD">
        <w:rPr>
          <w:rFonts w:ascii="Times New Roman" w:hAnsi="Times New Roman" w:cs="Times New Roman"/>
          <w:sz w:val="24"/>
          <w:szCs w:val="24"/>
        </w:rPr>
        <w:t xml:space="preserve">nível em: </w:t>
      </w:r>
      <w:hyperlink r:id="rId50" w:history="1">
        <w:r w:rsidRPr="006E0DFD">
          <w:rPr>
            <w:rStyle w:val="Hyperlink"/>
            <w:rFonts w:ascii="Times New Roman" w:hAnsi="Times New Roman"/>
            <w:sz w:val="24"/>
            <w:szCs w:val="24"/>
          </w:rPr>
          <w:t>http://www.rins.us/media/f5e7d48fc3eae971ffff81b0ffffffdb.pdf</w:t>
        </w:r>
      </w:hyperlink>
      <w:r w:rsidRPr="006E0DFD">
        <w:rPr>
          <w:rFonts w:ascii="Times New Roman" w:hAnsi="Times New Roman" w:cs="Times New Roman"/>
          <w:sz w:val="24"/>
          <w:szCs w:val="24"/>
        </w:rPr>
        <w:t>.</w:t>
      </w:r>
      <w:r>
        <w:rPr>
          <w:rFonts w:ascii="Times New Roman" w:hAnsi="Times New Roman" w:cs="Times New Roman"/>
          <w:sz w:val="24"/>
          <w:szCs w:val="24"/>
        </w:rPr>
        <w:t xml:space="preserve"> </w:t>
      </w:r>
      <w:r w:rsidR="00C57B08" w:rsidRPr="00756A9D">
        <w:rPr>
          <w:rFonts w:ascii="Times New Roman" w:hAnsi="Times New Roman" w:cs="Times New Roman"/>
          <w:sz w:val="24"/>
          <w:szCs w:val="24"/>
          <w:lang w:val="en-US"/>
        </w:rPr>
        <w:t>Acesso em</w:t>
      </w:r>
      <w:r w:rsidRPr="00756A9D">
        <w:rPr>
          <w:rFonts w:ascii="Times New Roman" w:hAnsi="Times New Roman" w:cs="Times New Roman"/>
          <w:sz w:val="24"/>
          <w:szCs w:val="24"/>
          <w:lang w:val="en-US"/>
        </w:rPr>
        <w:t xml:space="preserve"> 20 jun. 2012.</w:t>
      </w:r>
    </w:p>
    <w:p w:rsidR="000436A2" w:rsidRPr="00756A9D" w:rsidRDefault="000436A2" w:rsidP="000436A2">
      <w:pPr>
        <w:rPr>
          <w:rFonts w:ascii="Times New Roman" w:hAnsi="Times New Roman" w:cs="Times New Roman"/>
          <w:sz w:val="24"/>
          <w:szCs w:val="24"/>
          <w:lang w:val="en-US"/>
        </w:rPr>
      </w:pPr>
    </w:p>
    <w:p w:rsidR="00FB5E76" w:rsidRDefault="00FB5E76" w:rsidP="00FB5E76">
      <w:pPr>
        <w:rPr>
          <w:rFonts w:ascii="Times New Roman" w:hAnsi="Times New Roman" w:cs="Times New Roman"/>
          <w:sz w:val="24"/>
          <w:szCs w:val="24"/>
          <w:lang w:val="en-US"/>
        </w:rPr>
      </w:pPr>
      <w:r>
        <w:rPr>
          <w:rFonts w:ascii="Times New Roman" w:hAnsi="Times New Roman" w:cs="Times New Roman"/>
          <w:sz w:val="24"/>
          <w:szCs w:val="24"/>
          <w:lang w:val="en-US"/>
        </w:rPr>
        <w:t xml:space="preserve">PAVITT, K. </w:t>
      </w:r>
      <w:r w:rsidRPr="00FB5E76">
        <w:rPr>
          <w:rFonts w:ascii="Times New Roman" w:hAnsi="Times New Roman" w:cs="Times New Roman"/>
          <w:sz w:val="24"/>
          <w:szCs w:val="24"/>
          <w:lang w:val="en-US"/>
        </w:rPr>
        <w:t>Sectoral patterns of technical change: to</w:t>
      </w:r>
      <w:r>
        <w:rPr>
          <w:rFonts w:ascii="Times New Roman" w:hAnsi="Times New Roman" w:cs="Times New Roman"/>
          <w:sz w:val="24"/>
          <w:szCs w:val="24"/>
          <w:lang w:val="en-US"/>
        </w:rPr>
        <w:t xml:space="preserve">wards a taxonomy and a theory. </w:t>
      </w:r>
      <w:r w:rsidRPr="00FB5E76">
        <w:rPr>
          <w:rFonts w:ascii="Times New Roman" w:hAnsi="Times New Roman" w:cs="Times New Roman"/>
          <w:b/>
          <w:sz w:val="24"/>
          <w:szCs w:val="24"/>
          <w:lang w:val="en-US"/>
        </w:rPr>
        <w:t>Research Policy</w:t>
      </w:r>
      <w:r w:rsidRPr="00FB5E76">
        <w:rPr>
          <w:rFonts w:ascii="Times New Roman" w:hAnsi="Times New Roman" w:cs="Times New Roman"/>
          <w:sz w:val="24"/>
          <w:szCs w:val="24"/>
          <w:lang w:val="en-US"/>
        </w:rPr>
        <w:t>, v. 13, p. 343-373, 1984.</w:t>
      </w:r>
    </w:p>
    <w:p w:rsidR="00C57B08" w:rsidRDefault="00C57B08" w:rsidP="00FB5E76">
      <w:pPr>
        <w:rPr>
          <w:rFonts w:ascii="Times New Roman" w:hAnsi="Times New Roman" w:cs="Times New Roman"/>
          <w:sz w:val="24"/>
          <w:szCs w:val="24"/>
          <w:lang w:val="en-US"/>
        </w:rPr>
      </w:pPr>
    </w:p>
    <w:p w:rsidR="00C57B08" w:rsidRPr="00756A9D" w:rsidRDefault="00C57B08" w:rsidP="00FB5E76">
      <w:pPr>
        <w:rPr>
          <w:rFonts w:ascii="Times New Roman" w:hAnsi="Times New Roman" w:cs="Times New Roman"/>
          <w:sz w:val="24"/>
          <w:szCs w:val="24"/>
          <w:lang w:val="en-US"/>
        </w:rPr>
      </w:pPr>
      <w:r>
        <w:rPr>
          <w:rFonts w:ascii="Times New Roman" w:hAnsi="Times New Roman" w:cs="Times New Roman"/>
          <w:sz w:val="24"/>
          <w:szCs w:val="24"/>
          <w:lang w:val="en-US"/>
        </w:rPr>
        <w:t xml:space="preserve">PIKE RESEARCH. Biofuels markets and technologies. </w:t>
      </w:r>
      <w:r w:rsidRPr="00C57B08">
        <w:rPr>
          <w:rFonts w:ascii="Times New Roman" w:hAnsi="Times New Roman" w:cs="Times New Roman"/>
          <w:sz w:val="24"/>
          <w:szCs w:val="24"/>
        </w:rPr>
        <w:t xml:space="preserve">Research report. Dez., 2011. Disponível em: </w:t>
      </w:r>
      <w:hyperlink r:id="rId51" w:history="1">
        <w:r w:rsidRPr="00C57B08">
          <w:rPr>
            <w:rStyle w:val="Hyperlink"/>
            <w:rFonts w:ascii="Times New Roman" w:hAnsi="Times New Roman" w:cs="Times New Roman"/>
            <w:sz w:val="24"/>
            <w:szCs w:val="24"/>
          </w:rPr>
          <w:t>http://www.pikeresearch.com/research/biofuels-markets-and-technologies</w:t>
        </w:r>
      </w:hyperlink>
      <w:r w:rsidRPr="00C57B08">
        <w:rPr>
          <w:rFonts w:ascii="Times New Roman" w:hAnsi="Times New Roman" w:cs="Times New Roman"/>
          <w:sz w:val="24"/>
          <w:szCs w:val="24"/>
        </w:rPr>
        <w:t xml:space="preserve">. </w:t>
      </w:r>
      <w:r w:rsidRPr="00756A9D">
        <w:rPr>
          <w:rFonts w:ascii="Times New Roman" w:hAnsi="Times New Roman" w:cs="Times New Roman"/>
          <w:sz w:val="24"/>
          <w:szCs w:val="24"/>
          <w:lang w:val="en-US"/>
        </w:rPr>
        <w:t>Acesso em 29 jul. 2012.</w:t>
      </w:r>
    </w:p>
    <w:p w:rsidR="00FB5E76" w:rsidRPr="00756A9D" w:rsidRDefault="00FB5E76" w:rsidP="000436A2">
      <w:pPr>
        <w:rPr>
          <w:rFonts w:ascii="Times New Roman" w:hAnsi="Times New Roman" w:cs="Times New Roman"/>
          <w:sz w:val="24"/>
          <w:szCs w:val="24"/>
          <w:lang w:val="en-US"/>
        </w:rPr>
      </w:pPr>
    </w:p>
    <w:p w:rsidR="000436A2" w:rsidRDefault="000436A2" w:rsidP="000436A2">
      <w:pPr>
        <w:rPr>
          <w:rFonts w:ascii="Times New Roman" w:hAnsi="Times New Roman" w:cs="Times New Roman"/>
          <w:sz w:val="24"/>
          <w:szCs w:val="24"/>
        </w:rPr>
      </w:pPr>
      <w:r>
        <w:rPr>
          <w:rFonts w:ascii="Times New Roman" w:hAnsi="Times New Roman" w:cs="Times New Roman"/>
          <w:sz w:val="24"/>
          <w:szCs w:val="24"/>
          <w:lang w:val="en-US"/>
        </w:rPr>
        <w:t xml:space="preserve">PILGRIM, S.; HARVEY, M. </w:t>
      </w:r>
      <w:r w:rsidRPr="0033206D">
        <w:rPr>
          <w:rFonts w:ascii="Times New Roman" w:hAnsi="Times New Roman" w:cs="Times New Roman"/>
          <w:sz w:val="24"/>
          <w:szCs w:val="24"/>
          <w:lang w:val="en-US"/>
        </w:rPr>
        <w:t>Battles over Biofuels in Europe: NGOs and the Politics of Markets</w:t>
      </w:r>
      <w:r>
        <w:rPr>
          <w:rFonts w:ascii="Times New Roman" w:hAnsi="Times New Roman" w:cs="Times New Roman"/>
          <w:sz w:val="24"/>
          <w:szCs w:val="24"/>
          <w:lang w:val="en-US"/>
        </w:rPr>
        <w:t xml:space="preserve">. </w:t>
      </w:r>
      <w:r w:rsidRPr="0033206D">
        <w:rPr>
          <w:rFonts w:ascii="Times New Roman" w:hAnsi="Times New Roman" w:cs="Times New Roman"/>
          <w:b/>
          <w:sz w:val="24"/>
          <w:szCs w:val="24"/>
        </w:rPr>
        <w:t>Sociological Research Online</w:t>
      </w:r>
      <w:r w:rsidRPr="0033206D">
        <w:rPr>
          <w:rFonts w:ascii="Times New Roman" w:hAnsi="Times New Roman" w:cs="Times New Roman"/>
          <w:sz w:val="24"/>
          <w:szCs w:val="24"/>
        </w:rPr>
        <w:t xml:space="preserve">, </w:t>
      </w:r>
      <w:r>
        <w:rPr>
          <w:rFonts w:ascii="Times New Roman" w:hAnsi="Times New Roman" w:cs="Times New Roman"/>
          <w:sz w:val="24"/>
          <w:szCs w:val="24"/>
        </w:rPr>
        <w:t>v. 15, n. 3</w:t>
      </w:r>
      <w:r w:rsidRPr="0033206D">
        <w:rPr>
          <w:rFonts w:ascii="Times New Roman" w:hAnsi="Times New Roman" w:cs="Times New Roman"/>
          <w:sz w:val="24"/>
          <w:szCs w:val="24"/>
        </w:rPr>
        <w:t xml:space="preserve">, 2010. Disponível em: </w:t>
      </w:r>
      <w:hyperlink r:id="rId52" w:history="1">
        <w:r w:rsidRPr="001B4EAF">
          <w:rPr>
            <w:rStyle w:val="Hyperlink"/>
            <w:rFonts w:ascii="Times New Roman" w:hAnsi="Times New Roman"/>
            <w:sz w:val="24"/>
            <w:szCs w:val="24"/>
          </w:rPr>
          <w:t>www.socresonline.org.uk/15/3/4.html</w:t>
        </w:r>
      </w:hyperlink>
      <w:r>
        <w:rPr>
          <w:rFonts w:ascii="Times New Roman" w:hAnsi="Times New Roman" w:cs="Times New Roman"/>
          <w:sz w:val="24"/>
          <w:szCs w:val="24"/>
        </w:rPr>
        <w:t xml:space="preserve">. </w:t>
      </w:r>
      <w:r w:rsidRPr="00C25399">
        <w:rPr>
          <w:rFonts w:ascii="Times New Roman" w:hAnsi="Times New Roman" w:cs="Times New Roman"/>
          <w:sz w:val="24"/>
          <w:szCs w:val="24"/>
        </w:rPr>
        <w:t>Acesso em 10 mar. 2012.</w:t>
      </w:r>
    </w:p>
    <w:p w:rsidR="000436A2" w:rsidRDefault="000436A2" w:rsidP="000436A2">
      <w:pPr>
        <w:rPr>
          <w:rFonts w:ascii="Times New Roman" w:hAnsi="Times New Roman" w:cs="Times New Roman"/>
          <w:sz w:val="24"/>
          <w:szCs w:val="24"/>
        </w:rPr>
      </w:pPr>
    </w:p>
    <w:p w:rsidR="000436A2" w:rsidRDefault="000436A2" w:rsidP="000436A2">
      <w:pPr>
        <w:rPr>
          <w:rFonts w:ascii="Times New Roman" w:hAnsi="Times New Roman" w:cs="Times New Roman"/>
          <w:sz w:val="24"/>
          <w:szCs w:val="24"/>
        </w:rPr>
      </w:pPr>
      <w:r w:rsidRPr="00BC2C14">
        <w:rPr>
          <w:rFonts w:ascii="Times New Roman" w:hAnsi="Times New Roman" w:cs="Times New Roman"/>
          <w:sz w:val="24"/>
          <w:szCs w:val="24"/>
        </w:rPr>
        <w:t xml:space="preserve">PINTO JUNIOR, H. Q. </w:t>
      </w:r>
      <w:r w:rsidRPr="00BC2C14">
        <w:rPr>
          <w:rFonts w:ascii="Times New Roman" w:hAnsi="Times New Roman" w:cs="Times New Roman"/>
          <w:b/>
          <w:sz w:val="24"/>
          <w:szCs w:val="24"/>
        </w:rPr>
        <w:t>Desenhos Institucionais e a Regulação de Energia</w:t>
      </w:r>
      <w:r w:rsidRPr="00BC2C14">
        <w:rPr>
          <w:rFonts w:ascii="Times New Roman" w:hAnsi="Times New Roman" w:cs="Times New Roman"/>
          <w:sz w:val="24"/>
          <w:szCs w:val="24"/>
        </w:rPr>
        <w:t xml:space="preserve">: um estudo comparativo das agências de regulação após as reformas. Versão ampliada do projeto de pesquisa “As Novas Práticas de Regulação: experiência internacional </w:t>
      </w:r>
      <w:r>
        <w:rPr>
          <w:rFonts w:ascii="Times New Roman" w:hAnsi="Times New Roman" w:cs="Times New Roman"/>
          <w:sz w:val="24"/>
          <w:szCs w:val="24"/>
        </w:rPr>
        <w:t>e lições para o caso brasileiro</w:t>
      </w:r>
      <w:r w:rsidRPr="00BC2C14">
        <w:rPr>
          <w:rFonts w:ascii="Times New Roman" w:hAnsi="Times New Roman" w:cs="Times New Roman"/>
          <w:sz w:val="24"/>
          <w:szCs w:val="24"/>
        </w:rPr>
        <w:t>”</w:t>
      </w:r>
      <w:r>
        <w:rPr>
          <w:rFonts w:ascii="Times New Roman" w:hAnsi="Times New Roman" w:cs="Times New Roman"/>
          <w:sz w:val="24"/>
          <w:szCs w:val="24"/>
        </w:rPr>
        <w:t>.</w:t>
      </w:r>
      <w:r w:rsidRPr="00BC2C14">
        <w:rPr>
          <w:rFonts w:ascii="Times New Roman" w:hAnsi="Times New Roman" w:cs="Times New Roman"/>
          <w:sz w:val="24"/>
          <w:szCs w:val="24"/>
        </w:rPr>
        <w:t xml:space="preserve"> IE/UFRJ; ANP, 2002.</w:t>
      </w:r>
    </w:p>
    <w:p w:rsidR="000436A2" w:rsidRDefault="000436A2" w:rsidP="000436A2">
      <w:pPr>
        <w:rPr>
          <w:rFonts w:ascii="Times New Roman" w:hAnsi="Times New Roman" w:cs="Times New Roman"/>
          <w:sz w:val="24"/>
          <w:szCs w:val="24"/>
        </w:rPr>
      </w:pPr>
    </w:p>
    <w:p w:rsidR="000436A2" w:rsidRPr="00C25399" w:rsidRDefault="000436A2" w:rsidP="000436A2">
      <w:pPr>
        <w:rPr>
          <w:rFonts w:ascii="Times New Roman" w:hAnsi="Times New Roman" w:cs="Times New Roman"/>
          <w:sz w:val="24"/>
          <w:szCs w:val="24"/>
          <w:lang w:val="en-US"/>
        </w:rPr>
      </w:pPr>
      <w:r>
        <w:rPr>
          <w:rFonts w:ascii="Times New Roman" w:hAnsi="Times New Roman" w:cs="Times New Roman"/>
          <w:sz w:val="24"/>
          <w:szCs w:val="24"/>
        </w:rPr>
        <w:t xml:space="preserve">PRATES, C. P. T.; PIEROBON, E. C.; COSTA, R. C. </w:t>
      </w:r>
      <w:r w:rsidRPr="00071352">
        <w:rPr>
          <w:rFonts w:ascii="Times New Roman" w:hAnsi="Times New Roman" w:cs="Times New Roman"/>
          <w:sz w:val="24"/>
          <w:szCs w:val="24"/>
        </w:rPr>
        <w:t>Formação do mercado de biodiesel no Brasil.</w:t>
      </w:r>
      <w:r>
        <w:rPr>
          <w:rFonts w:ascii="Times New Roman" w:hAnsi="Times New Roman" w:cs="Times New Roman"/>
          <w:sz w:val="24"/>
          <w:szCs w:val="24"/>
        </w:rPr>
        <w:t xml:space="preserve"> </w:t>
      </w:r>
      <w:r w:rsidR="00071352" w:rsidRPr="00071352">
        <w:rPr>
          <w:rFonts w:ascii="Times New Roman" w:hAnsi="Times New Roman" w:cs="Times New Roman"/>
          <w:b/>
          <w:sz w:val="24"/>
          <w:szCs w:val="24"/>
          <w:lang w:val="en-US"/>
        </w:rPr>
        <w:t>BNDES Setorial</w:t>
      </w:r>
      <w:r w:rsidR="00071352">
        <w:rPr>
          <w:rFonts w:ascii="Times New Roman" w:hAnsi="Times New Roman" w:cs="Times New Roman"/>
          <w:sz w:val="24"/>
          <w:szCs w:val="24"/>
          <w:lang w:val="en-US"/>
        </w:rPr>
        <w:t>,</w:t>
      </w:r>
      <w:r w:rsidRPr="00C25399">
        <w:rPr>
          <w:rFonts w:ascii="Times New Roman" w:hAnsi="Times New Roman" w:cs="Times New Roman"/>
          <w:sz w:val="24"/>
          <w:szCs w:val="24"/>
          <w:lang w:val="en-US"/>
        </w:rPr>
        <w:t xml:space="preserve"> n. 25,</w:t>
      </w:r>
      <w:r w:rsidRPr="002F3265">
        <w:rPr>
          <w:rFonts w:ascii="Times New Roman" w:hAnsi="Times New Roman" w:cs="Times New Roman"/>
          <w:sz w:val="24"/>
          <w:szCs w:val="24"/>
          <w:lang w:val="en-US"/>
        </w:rPr>
        <w:t xml:space="preserve"> </w:t>
      </w:r>
      <w:r>
        <w:rPr>
          <w:rFonts w:ascii="Times New Roman" w:hAnsi="Times New Roman" w:cs="Times New Roman"/>
          <w:sz w:val="24"/>
          <w:szCs w:val="24"/>
          <w:lang w:val="en-US"/>
        </w:rPr>
        <w:t>p. 39-64,</w:t>
      </w:r>
      <w:r w:rsidRPr="00C25399">
        <w:rPr>
          <w:rFonts w:ascii="Times New Roman" w:hAnsi="Times New Roman" w:cs="Times New Roman"/>
          <w:sz w:val="24"/>
          <w:szCs w:val="24"/>
          <w:lang w:val="en-US"/>
        </w:rPr>
        <w:t xml:space="preserve"> </w:t>
      </w:r>
      <w:r>
        <w:rPr>
          <w:rFonts w:ascii="Times New Roman" w:hAnsi="Times New Roman" w:cs="Times New Roman"/>
          <w:sz w:val="24"/>
          <w:szCs w:val="24"/>
          <w:lang w:val="en-US"/>
        </w:rPr>
        <w:t>2007</w:t>
      </w:r>
      <w:r w:rsidRPr="00C25399">
        <w:rPr>
          <w:rFonts w:ascii="Times New Roman" w:hAnsi="Times New Roman" w:cs="Times New Roman"/>
          <w:sz w:val="24"/>
          <w:szCs w:val="24"/>
          <w:lang w:val="en-US"/>
        </w:rPr>
        <w:t xml:space="preserve">. </w:t>
      </w:r>
    </w:p>
    <w:p w:rsidR="000436A2" w:rsidRPr="00C25399" w:rsidRDefault="000436A2" w:rsidP="000436A2">
      <w:pPr>
        <w:rPr>
          <w:rFonts w:ascii="Times New Roman" w:hAnsi="Times New Roman" w:cs="Times New Roman"/>
          <w:sz w:val="24"/>
          <w:szCs w:val="24"/>
          <w:lang w:val="en-US"/>
        </w:rPr>
      </w:pPr>
    </w:p>
    <w:p w:rsidR="000436A2" w:rsidRDefault="000436A2" w:rsidP="000436A2">
      <w:pPr>
        <w:rPr>
          <w:rFonts w:ascii="Times New Roman" w:hAnsi="Times New Roman" w:cs="Times New Roman"/>
          <w:sz w:val="24"/>
          <w:szCs w:val="24"/>
          <w:lang w:val="en-US"/>
        </w:rPr>
      </w:pPr>
      <w:r w:rsidRPr="0089737D">
        <w:rPr>
          <w:rFonts w:ascii="Times New Roman" w:hAnsi="Times New Roman" w:cs="Times New Roman"/>
          <w:sz w:val="24"/>
          <w:szCs w:val="24"/>
          <w:lang w:val="en-US"/>
        </w:rPr>
        <w:t xml:space="preserve">PRIEGER, J. E. Regulatory delay and </w:t>
      </w:r>
      <w:r>
        <w:rPr>
          <w:rFonts w:ascii="Times New Roman" w:hAnsi="Times New Roman" w:cs="Times New Roman"/>
          <w:sz w:val="24"/>
          <w:szCs w:val="24"/>
          <w:lang w:val="en-US"/>
        </w:rPr>
        <w:t xml:space="preserve">the timing of product innovation. </w:t>
      </w:r>
      <w:r w:rsidRPr="0089737D">
        <w:rPr>
          <w:rFonts w:ascii="Times New Roman" w:hAnsi="Times New Roman" w:cs="Times New Roman"/>
          <w:b/>
          <w:sz w:val="24"/>
          <w:szCs w:val="24"/>
          <w:lang w:val="en-US"/>
        </w:rPr>
        <w:t>International</w:t>
      </w:r>
      <w:r>
        <w:rPr>
          <w:rFonts w:ascii="Times New Roman" w:hAnsi="Times New Roman" w:cs="Times New Roman"/>
          <w:sz w:val="24"/>
          <w:szCs w:val="24"/>
          <w:lang w:val="en-US"/>
        </w:rPr>
        <w:t xml:space="preserve"> </w:t>
      </w:r>
      <w:r w:rsidRPr="0089737D">
        <w:rPr>
          <w:rFonts w:ascii="Times New Roman" w:hAnsi="Times New Roman" w:cs="Times New Roman"/>
          <w:b/>
          <w:sz w:val="24"/>
          <w:szCs w:val="24"/>
          <w:lang w:val="en-US"/>
        </w:rPr>
        <w:t>Journal of Industrial Organization</w:t>
      </w:r>
      <w:r>
        <w:rPr>
          <w:rFonts w:ascii="Times New Roman" w:hAnsi="Times New Roman" w:cs="Times New Roman"/>
          <w:sz w:val="24"/>
          <w:szCs w:val="24"/>
          <w:lang w:val="en-US"/>
        </w:rPr>
        <w:t>, n. 25, p. 219-236, 2007.</w:t>
      </w:r>
    </w:p>
    <w:p w:rsidR="000436A2" w:rsidRDefault="000436A2" w:rsidP="000436A2">
      <w:pPr>
        <w:rPr>
          <w:rFonts w:ascii="Times New Roman" w:hAnsi="Times New Roman" w:cs="Times New Roman"/>
          <w:sz w:val="24"/>
          <w:szCs w:val="24"/>
          <w:lang w:val="en-US"/>
        </w:rPr>
      </w:pPr>
    </w:p>
    <w:p w:rsidR="000436A2" w:rsidRPr="00524A9B" w:rsidRDefault="000436A2" w:rsidP="000436A2">
      <w:pPr>
        <w:rPr>
          <w:rFonts w:ascii="Times New Roman" w:hAnsi="Times New Roman" w:cs="Times New Roman"/>
          <w:sz w:val="24"/>
          <w:szCs w:val="24"/>
          <w:lang w:val="en-US"/>
        </w:rPr>
      </w:pPr>
      <w:r w:rsidRPr="00E50D54">
        <w:rPr>
          <w:rFonts w:ascii="Times New Roman" w:hAnsi="Times New Roman" w:cs="Times New Roman"/>
          <w:sz w:val="24"/>
          <w:szCs w:val="24"/>
          <w:lang w:val="en-US"/>
        </w:rPr>
        <w:t xml:space="preserve">RAJAGOPAL, D.; ZILBERMAN, D.; HOCHMAN, G. </w:t>
      </w:r>
      <w:r w:rsidRPr="00867755">
        <w:rPr>
          <w:rFonts w:ascii="Times New Roman" w:hAnsi="Times New Roman" w:cs="Times New Roman"/>
          <w:b/>
          <w:sz w:val="24"/>
          <w:szCs w:val="24"/>
          <w:lang w:val="en-US"/>
        </w:rPr>
        <w:t>Indirect Land Use Change</w:t>
      </w:r>
      <w:r w:rsidRPr="00BD38C9">
        <w:rPr>
          <w:rFonts w:ascii="Times New Roman" w:hAnsi="Times New Roman" w:cs="Times New Roman"/>
          <w:sz w:val="24"/>
          <w:szCs w:val="24"/>
          <w:lang w:val="en-US"/>
        </w:rPr>
        <w:t>:</w:t>
      </w:r>
      <w:r w:rsidRPr="00867755">
        <w:rPr>
          <w:rFonts w:ascii="Times New Roman" w:hAnsi="Times New Roman" w:cs="Times New Roman"/>
          <w:b/>
          <w:sz w:val="24"/>
          <w:szCs w:val="24"/>
          <w:lang w:val="en-US"/>
        </w:rPr>
        <w:t xml:space="preserve"> </w:t>
      </w:r>
      <w:r w:rsidRPr="00BD38C9">
        <w:rPr>
          <w:rFonts w:ascii="Times New Roman" w:hAnsi="Times New Roman" w:cs="Times New Roman"/>
          <w:sz w:val="24"/>
          <w:szCs w:val="24"/>
          <w:lang w:val="en-US"/>
        </w:rPr>
        <w:t>A second best solution to a first class problem</w:t>
      </w:r>
      <w:r w:rsidRPr="00E50D54">
        <w:rPr>
          <w:rFonts w:ascii="Times New Roman" w:hAnsi="Times New Roman" w:cs="Times New Roman"/>
          <w:sz w:val="24"/>
          <w:szCs w:val="24"/>
          <w:lang w:val="en-US"/>
        </w:rPr>
        <w:t xml:space="preserve">. </w:t>
      </w:r>
      <w:r w:rsidRPr="00524A9B">
        <w:rPr>
          <w:rFonts w:ascii="Times New Roman" w:hAnsi="Times New Roman" w:cs="Times New Roman"/>
          <w:sz w:val="24"/>
          <w:szCs w:val="24"/>
          <w:lang w:val="en-US"/>
        </w:rPr>
        <w:t>CUDARE Working Paper nº 1110, 2010.</w:t>
      </w:r>
    </w:p>
    <w:p w:rsidR="000436A2" w:rsidRPr="00524A9B" w:rsidRDefault="000436A2" w:rsidP="000436A2">
      <w:pPr>
        <w:rPr>
          <w:rFonts w:ascii="Times New Roman" w:hAnsi="Times New Roman" w:cs="Times New Roman"/>
          <w:sz w:val="24"/>
          <w:szCs w:val="24"/>
          <w:lang w:val="en-US"/>
        </w:rPr>
      </w:pPr>
    </w:p>
    <w:p w:rsidR="000436A2" w:rsidRDefault="000436A2" w:rsidP="000436A2">
      <w:pPr>
        <w:spacing w:after="240"/>
        <w:rPr>
          <w:rFonts w:ascii="Times New Roman" w:hAnsi="Times New Roman" w:cs="Times New Roman"/>
          <w:sz w:val="24"/>
          <w:szCs w:val="24"/>
          <w:lang w:val="en-US"/>
        </w:rPr>
      </w:pPr>
      <w:r>
        <w:rPr>
          <w:rFonts w:ascii="Times New Roman" w:hAnsi="Times New Roman" w:cs="Times New Roman"/>
          <w:sz w:val="24"/>
          <w:szCs w:val="24"/>
          <w:lang w:val="en-US"/>
        </w:rPr>
        <w:t xml:space="preserve">REGALBUTO, J. R. The sea change in US biofuels’ funding: from cellulosic ethanol to green gasoline. </w:t>
      </w:r>
      <w:r w:rsidRPr="00FC2B5E">
        <w:rPr>
          <w:rFonts w:ascii="Times New Roman" w:hAnsi="Times New Roman" w:cs="Times New Roman"/>
          <w:b/>
          <w:sz w:val="24"/>
          <w:szCs w:val="24"/>
          <w:lang w:val="en-US"/>
        </w:rPr>
        <w:t>Biofuels, Bioproducts &amp; Biorefining</w:t>
      </w:r>
      <w:r>
        <w:rPr>
          <w:rFonts w:ascii="Times New Roman" w:hAnsi="Times New Roman" w:cs="Times New Roman"/>
          <w:sz w:val="24"/>
          <w:szCs w:val="24"/>
          <w:lang w:val="en-US"/>
        </w:rPr>
        <w:t xml:space="preserve">, v. 5, p. 495-504, 2011. </w:t>
      </w:r>
    </w:p>
    <w:p w:rsidR="000436A2" w:rsidRPr="003C0D90" w:rsidRDefault="000436A2" w:rsidP="000436A2">
      <w:pPr>
        <w:spacing w:after="240"/>
        <w:rPr>
          <w:rFonts w:ascii="Times New Roman" w:hAnsi="Times New Roman" w:cs="Times New Roman"/>
          <w:sz w:val="24"/>
          <w:szCs w:val="24"/>
        </w:rPr>
      </w:pPr>
      <w:r w:rsidRPr="003C0D90">
        <w:rPr>
          <w:rFonts w:ascii="Times New Roman" w:hAnsi="Times New Roman" w:cs="Times New Roman"/>
          <w:sz w:val="24"/>
          <w:szCs w:val="24"/>
          <w:lang w:val="en-US"/>
        </w:rPr>
        <w:lastRenderedPageBreak/>
        <w:t xml:space="preserve">RFA. Renewable Fuels Association. </w:t>
      </w:r>
      <w:r w:rsidRPr="00524A9B">
        <w:rPr>
          <w:rFonts w:ascii="Times New Roman" w:hAnsi="Times New Roman" w:cs="Times New Roman"/>
          <w:b/>
          <w:sz w:val="24"/>
          <w:szCs w:val="24"/>
          <w:lang w:val="en-US"/>
        </w:rPr>
        <w:t>2012 Ethanol Industry Outlook</w:t>
      </w:r>
      <w:r w:rsidRPr="00524A9B">
        <w:rPr>
          <w:rFonts w:ascii="Times New Roman" w:hAnsi="Times New Roman" w:cs="Times New Roman"/>
          <w:sz w:val="24"/>
          <w:szCs w:val="24"/>
          <w:lang w:val="en-US"/>
        </w:rPr>
        <w:t xml:space="preserve">. </w:t>
      </w:r>
      <w:r w:rsidRPr="003C0D90">
        <w:rPr>
          <w:rFonts w:ascii="Times New Roman" w:hAnsi="Times New Roman" w:cs="Times New Roman"/>
          <w:sz w:val="24"/>
          <w:szCs w:val="24"/>
        </w:rPr>
        <w:t>2012.</w:t>
      </w:r>
      <w:r>
        <w:rPr>
          <w:rFonts w:ascii="Times New Roman" w:hAnsi="Times New Roman" w:cs="Times New Roman"/>
          <w:sz w:val="24"/>
          <w:szCs w:val="24"/>
        </w:rPr>
        <w:t xml:space="preserve"> Disponível em: </w:t>
      </w:r>
      <w:hyperlink r:id="rId53" w:history="1">
        <w:r w:rsidRPr="008D4A18">
          <w:rPr>
            <w:rStyle w:val="Hyperlink"/>
            <w:rFonts w:ascii="Times New Roman" w:hAnsi="Times New Roman"/>
            <w:sz w:val="24"/>
            <w:szCs w:val="24"/>
          </w:rPr>
          <w:t>www.rfa.org</w:t>
        </w:r>
      </w:hyperlink>
      <w:r>
        <w:rPr>
          <w:rFonts w:ascii="Times New Roman" w:hAnsi="Times New Roman" w:cs="Times New Roman"/>
          <w:sz w:val="24"/>
          <w:szCs w:val="24"/>
        </w:rPr>
        <w:t>. Acesso em 23 jul. 2012.</w:t>
      </w:r>
    </w:p>
    <w:p w:rsidR="000436A2" w:rsidRDefault="000436A2" w:rsidP="000436A2">
      <w:pPr>
        <w:spacing w:after="240"/>
        <w:rPr>
          <w:rFonts w:ascii="Times New Roman" w:hAnsi="Times New Roman" w:cs="Times New Roman"/>
          <w:sz w:val="24"/>
          <w:szCs w:val="24"/>
        </w:rPr>
      </w:pPr>
      <w:r>
        <w:rPr>
          <w:rFonts w:ascii="Times New Roman" w:hAnsi="Times New Roman" w:cs="Times New Roman"/>
          <w:sz w:val="24"/>
          <w:szCs w:val="24"/>
        </w:rPr>
        <w:t xml:space="preserve">ROSÁRIO, F. J. P. </w:t>
      </w:r>
      <w:r w:rsidRPr="002B330F">
        <w:rPr>
          <w:rFonts w:ascii="Times New Roman" w:hAnsi="Times New Roman" w:cs="Times New Roman"/>
          <w:b/>
          <w:sz w:val="24"/>
          <w:szCs w:val="24"/>
        </w:rPr>
        <w:t>Competitividade e transformações estruturais na agroindústria sucroalcooleira no Brasil</w:t>
      </w:r>
      <w:r w:rsidRPr="00024141">
        <w:rPr>
          <w:rFonts w:ascii="Times New Roman" w:hAnsi="Times New Roman" w:cs="Times New Roman"/>
          <w:sz w:val="24"/>
          <w:szCs w:val="24"/>
        </w:rPr>
        <w:t>: uma análise sob a ótica dos sistemas setoriais de inovação</w:t>
      </w:r>
      <w:r>
        <w:rPr>
          <w:rFonts w:ascii="Times New Roman" w:hAnsi="Times New Roman" w:cs="Times New Roman"/>
          <w:sz w:val="24"/>
          <w:szCs w:val="24"/>
        </w:rPr>
        <w:t>. 2008. 213 p. Tese (Doutorado em Economia) – Instituto de Economia, Universidade Federal do Rio de Janeiro, Rio de Janeiro.</w:t>
      </w:r>
    </w:p>
    <w:p w:rsidR="000436A2" w:rsidRPr="00E32819" w:rsidRDefault="000436A2" w:rsidP="000436A2">
      <w:pPr>
        <w:rPr>
          <w:rFonts w:ascii="Times New Roman" w:hAnsi="Times New Roman" w:cs="Times New Roman"/>
          <w:sz w:val="24"/>
          <w:szCs w:val="24"/>
          <w:lang w:val="en-US"/>
        </w:rPr>
      </w:pPr>
      <w:r w:rsidRPr="00B80D1B">
        <w:rPr>
          <w:rFonts w:ascii="Times New Roman" w:hAnsi="Times New Roman" w:cs="Times New Roman"/>
          <w:sz w:val="24"/>
          <w:szCs w:val="24"/>
        </w:rPr>
        <w:t>SÃO PAULO. Lei Nº 14.933, de 5 de junho de 2009</w:t>
      </w:r>
      <w:r>
        <w:rPr>
          <w:rFonts w:ascii="Times New Roman" w:hAnsi="Times New Roman" w:cs="Times New Roman"/>
          <w:sz w:val="24"/>
          <w:szCs w:val="24"/>
        </w:rPr>
        <w:t xml:space="preserve">. </w:t>
      </w:r>
      <w:r w:rsidRPr="00570599">
        <w:rPr>
          <w:rFonts w:ascii="Times New Roman" w:hAnsi="Times New Roman" w:cs="Times New Roman"/>
          <w:sz w:val="24"/>
          <w:szCs w:val="24"/>
        </w:rPr>
        <w:t>Institui a Política de Mudança do Clima no Município de São Paulo.</w:t>
      </w:r>
      <w:r>
        <w:rPr>
          <w:rFonts w:ascii="Times New Roman" w:hAnsi="Times New Roman" w:cs="Times New Roman"/>
          <w:sz w:val="24"/>
          <w:szCs w:val="24"/>
        </w:rPr>
        <w:t xml:space="preserve"> </w:t>
      </w:r>
      <w:r w:rsidRPr="00570599">
        <w:rPr>
          <w:rFonts w:ascii="Times New Roman" w:hAnsi="Times New Roman" w:cs="Times New Roman"/>
          <w:b/>
          <w:sz w:val="24"/>
          <w:szCs w:val="24"/>
        </w:rPr>
        <w:t>Secretaria do Governo Municipal</w:t>
      </w:r>
      <w:r w:rsidRPr="00E0499F">
        <w:rPr>
          <w:rFonts w:ascii="Times New Roman" w:hAnsi="Times New Roman" w:cs="Times New Roman"/>
          <w:sz w:val="24"/>
          <w:szCs w:val="24"/>
        </w:rPr>
        <w:t xml:space="preserve">. Disponível em: </w:t>
      </w:r>
      <w:hyperlink r:id="rId54" w:history="1">
        <w:r w:rsidRPr="00E0499F">
          <w:rPr>
            <w:rStyle w:val="Hyperlink"/>
            <w:rFonts w:ascii="Times New Roman" w:hAnsi="Times New Roman"/>
            <w:sz w:val="24"/>
            <w:szCs w:val="24"/>
          </w:rPr>
          <w:t>http://www3.prefeitura.sp.gov.br</w:t>
        </w:r>
      </w:hyperlink>
      <w:r w:rsidRPr="00E0499F">
        <w:rPr>
          <w:rFonts w:ascii="Times New Roman" w:hAnsi="Times New Roman" w:cs="Times New Roman"/>
          <w:sz w:val="24"/>
          <w:szCs w:val="24"/>
        </w:rPr>
        <w:t xml:space="preserve">. </w:t>
      </w:r>
      <w:r w:rsidR="00BD0ECB">
        <w:rPr>
          <w:rFonts w:ascii="Times New Roman" w:hAnsi="Times New Roman" w:cs="Times New Roman"/>
          <w:sz w:val="24"/>
          <w:szCs w:val="24"/>
          <w:lang w:val="en-US"/>
        </w:rPr>
        <w:t>Acesso em</w:t>
      </w:r>
      <w:r w:rsidRPr="00E32819">
        <w:rPr>
          <w:rFonts w:ascii="Times New Roman" w:hAnsi="Times New Roman" w:cs="Times New Roman"/>
          <w:sz w:val="24"/>
          <w:szCs w:val="24"/>
          <w:lang w:val="en-US"/>
        </w:rPr>
        <w:t xml:space="preserve"> 20 jun. 2012.</w:t>
      </w:r>
    </w:p>
    <w:p w:rsidR="000436A2" w:rsidRDefault="000436A2" w:rsidP="000436A2">
      <w:pPr>
        <w:rPr>
          <w:rFonts w:ascii="Times New Roman" w:hAnsi="Times New Roman" w:cs="Times New Roman"/>
          <w:sz w:val="24"/>
          <w:szCs w:val="24"/>
          <w:lang w:val="en-US"/>
        </w:rPr>
      </w:pPr>
    </w:p>
    <w:p w:rsidR="000436A2" w:rsidRPr="000436A2" w:rsidRDefault="000436A2" w:rsidP="000436A2">
      <w:pPr>
        <w:rPr>
          <w:rFonts w:ascii="Times New Roman" w:hAnsi="Times New Roman" w:cs="Times New Roman"/>
          <w:sz w:val="24"/>
          <w:szCs w:val="24"/>
          <w:lang w:val="en-US"/>
        </w:rPr>
      </w:pPr>
      <w:r w:rsidRPr="002C600E">
        <w:rPr>
          <w:rFonts w:ascii="Times New Roman" w:hAnsi="Times New Roman" w:cs="Times New Roman"/>
          <w:sz w:val="24"/>
          <w:szCs w:val="24"/>
          <w:lang w:val="en-US"/>
        </w:rPr>
        <w:t xml:space="preserve">SCHNEPF, R.; YACOBUCCI, B. </w:t>
      </w:r>
      <w:r w:rsidRPr="00E0499F">
        <w:rPr>
          <w:rFonts w:ascii="Times New Roman" w:hAnsi="Times New Roman" w:cs="Times New Roman"/>
          <w:b/>
          <w:sz w:val="24"/>
          <w:szCs w:val="24"/>
          <w:lang w:val="en-US"/>
        </w:rPr>
        <w:t>Renewable</w:t>
      </w:r>
      <w:r w:rsidRPr="002C600E">
        <w:rPr>
          <w:rFonts w:ascii="Times New Roman" w:hAnsi="Times New Roman" w:cs="Times New Roman"/>
          <w:sz w:val="24"/>
          <w:szCs w:val="24"/>
          <w:lang w:val="en-US"/>
        </w:rPr>
        <w:t xml:space="preserve"> </w:t>
      </w:r>
      <w:r w:rsidRPr="00E0499F">
        <w:rPr>
          <w:rFonts w:ascii="Times New Roman" w:hAnsi="Times New Roman" w:cs="Times New Roman"/>
          <w:b/>
          <w:sz w:val="24"/>
          <w:szCs w:val="24"/>
          <w:lang w:val="en-US"/>
        </w:rPr>
        <w:t>Fuel Standard: Overview and Issues</w:t>
      </w:r>
      <w:r>
        <w:rPr>
          <w:rFonts w:ascii="Times New Roman" w:hAnsi="Times New Roman" w:cs="Times New Roman"/>
          <w:sz w:val="24"/>
          <w:szCs w:val="24"/>
          <w:lang w:val="en-US"/>
        </w:rPr>
        <w:t xml:space="preserve">. </w:t>
      </w:r>
      <w:r w:rsidRPr="0080104E">
        <w:rPr>
          <w:rFonts w:ascii="Times New Roman" w:hAnsi="Times New Roman" w:cs="Times New Roman"/>
          <w:sz w:val="24"/>
          <w:szCs w:val="24"/>
        </w:rPr>
        <w:t xml:space="preserve">Congressional Research Service. Janeiro, 2012. </w:t>
      </w:r>
      <w:r w:rsidRPr="00E0499F">
        <w:rPr>
          <w:rFonts w:ascii="Times New Roman" w:hAnsi="Times New Roman" w:cs="Times New Roman"/>
          <w:sz w:val="24"/>
          <w:szCs w:val="24"/>
        </w:rPr>
        <w:t xml:space="preserve">Disponível em: </w:t>
      </w:r>
      <w:hyperlink r:id="rId55" w:history="1">
        <w:r w:rsidRPr="00E0499F">
          <w:rPr>
            <w:rStyle w:val="Hyperlink"/>
            <w:rFonts w:ascii="Times New Roman" w:hAnsi="Times New Roman"/>
            <w:sz w:val="24"/>
            <w:szCs w:val="24"/>
          </w:rPr>
          <w:t>http:/</w:t>
        </w:r>
        <w:r w:rsidRPr="001B4EAF">
          <w:rPr>
            <w:rStyle w:val="Hyperlink"/>
            <w:rFonts w:ascii="Times New Roman" w:hAnsi="Times New Roman"/>
            <w:sz w:val="24"/>
            <w:szCs w:val="24"/>
          </w:rPr>
          <w:t>/www.fas.org/sgp/crs/misc/R40155.pdf</w:t>
        </w:r>
      </w:hyperlink>
      <w:r>
        <w:rPr>
          <w:rFonts w:ascii="Times New Roman" w:hAnsi="Times New Roman" w:cs="Times New Roman"/>
          <w:sz w:val="24"/>
          <w:szCs w:val="24"/>
        </w:rPr>
        <w:t xml:space="preserve">. </w:t>
      </w:r>
      <w:r w:rsidRPr="000436A2">
        <w:rPr>
          <w:rFonts w:ascii="Times New Roman" w:hAnsi="Times New Roman" w:cs="Times New Roman"/>
          <w:sz w:val="24"/>
          <w:szCs w:val="24"/>
          <w:lang w:val="en-US"/>
        </w:rPr>
        <w:t>Acesso em 02 jun. 2012.</w:t>
      </w:r>
    </w:p>
    <w:p w:rsidR="000436A2" w:rsidRPr="000436A2" w:rsidRDefault="000436A2" w:rsidP="000436A2">
      <w:pPr>
        <w:rPr>
          <w:rFonts w:ascii="Times New Roman" w:hAnsi="Times New Roman" w:cs="Times New Roman"/>
          <w:sz w:val="24"/>
          <w:szCs w:val="24"/>
          <w:lang w:val="en-US"/>
        </w:rPr>
      </w:pPr>
    </w:p>
    <w:p w:rsidR="000436A2" w:rsidRDefault="000436A2" w:rsidP="000436A2">
      <w:pPr>
        <w:rPr>
          <w:rFonts w:ascii="Times New Roman" w:hAnsi="Times New Roman" w:cs="Times New Roman"/>
          <w:sz w:val="24"/>
          <w:szCs w:val="24"/>
          <w:lang w:val="en-US"/>
        </w:rPr>
      </w:pPr>
      <w:r w:rsidRPr="00A53C38">
        <w:rPr>
          <w:rFonts w:ascii="Times New Roman" w:hAnsi="Times New Roman" w:cs="Times New Roman"/>
          <w:caps/>
          <w:sz w:val="24"/>
          <w:szCs w:val="24"/>
          <w:lang w:val="en-US"/>
        </w:rPr>
        <w:t>Searchinger T,; Heimlich R.; Houghton R. A.; Dong F.; Elobeid A.; Fabiosa J</w:t>
      </w:r>
      <w:r>
        <w:rPr>
          <w:rFonts w:ascii="Times New Roman" w:hAnsi="Times New Roman" w:cs="Times New Roman"/>
          <w:sz w:val="24"/>
          <w:szCs w:val="24"/>
          <w:lang w:val="en-US"/>
        </w:rPr>
        <w:t>.</w:t>
      </w:r>
      <w:r w:rsidRPr="00A53C38">
        <w:rPr>
          <w:rFonts w:ascii="Times New Roman" w:hAnsi="Times New Roman" w:cs="Times New Roman"/>
          <w:sz w:val="24"/>
          <w:szCs w:val="24"/>
          <w:lang w:val="en-US"/>
        </w:rPr>
        <w:t xml:space="preserve"> et al. Use of U.S. croplands for biofu</w:t>
      </w:r>
      <w:r>
        <w:rPr>
          <w:rFonts w:ascii="Times New Roman" w:hAnsi="Times New Roman" w:cs="Times New Roman"/>
          <w:sz w:val="24"/>
          <w:szCs w:val="24"/>
          <w:lang w:val="en-US"/>
        </w:rPr>
        <w:t xml:space="preserve">els increases greenhouse gases </w:t>
      </w:r>
      <w:r w:rsidRPr="00A53C38">
        <w:rPr>
          <w:rFonts w:ascii="Times New Roman" w:hAnsi="Times New Roman" w:cs="Times New Roman"/>
          <w:sz w:val="24"/>
          <w:szCs w:val="24"/>
          <w:lang w:val="en-US"/>
        </w:rPr>
        <w:t>through emissions from land-use</w:t>
      </w:r>
      <w:r>
        <w:rPr>
          <w:rFonts w:ascii="Times New Roman" w:hAnsi="Times New Roman" w:cs="Times New Roman"/>
          <w:sz w:val="24"/>
          <w:szCs w:val="24"/>
          <w:lang w:val="en-US"/>
        </w:rPr>
        <w:t xml:space="preserve"> change. </w:t>
      </w:r>
      <w:r w:rsidRPr="00A53C38">
        <w:rPr>
          <w:rFonts w:ascii="Times New Roman" w:hAnsi="Times New Roman" w:cs="Times New Roman"/>
          <w:b/>
          <w:sz w:val="24"/>
          <w:szCs w:val="24"/>
          <w:lang w:val="en-US"/>
        </w:rPr>
        <w:t>Science</w:t>
      </w:r>
      <w:r>
        <w:rPr>
          <w:rFonts w:ascii="Times New Roman" w:hAnsi="Times New Roman" w:cs="Times New Roman"/>
          <w:sz w:val="24"/>
          <w:szCs w:val="24"/>
          <w:lang w:val="en-US"/>
        </w:rPr>
        <w:t>, n. 319, p. 1238–1240, 2008</w:t>
      </w:r>
      <w:r w:rsidRPr="00A53C38">
        <w:rPr>
          <w:rFonts w:ascii="Times New Roman" w:hAnsi="Times New Roman" w:cs="Times New Roman"/>
          <w:sz w:val="24"/>
          <w:szCs w:val="24"/>
          <w:lang w:val="en-US"/>
        </w:rPr>
        <w:t>.</w:t>
      </w:r>
    </w:p>
    <w:p w:rsidR="000436A2" w:rsidRPr="004C6D64" w:rsidRDefault="000436A2" w:rsidP="000436A2">
      <w:pPr>
        <w:rPr>
          <w:rFonts w:ascii="Times New Roman" w:hAnsi="Times New Roman" w:cs="Times New Roman"/>
          <w:sz w:val="24"/>
          <w:szCs w:val="24"/>
          <w:lang w:val="en-US"/>
        </w:rPr>
      </w:pPr>
    </w:p>
    <w:p w:rsidR="000436A2" w:rsidRPr="00E11BA9" w:rsidRDefault="000436A2" w:rsidP="000436A2">
      <w:pPr>
        <w:rPr>
          <w:rFonts w:ascii="Times New Roman" w:hAnsi="Times New Roman" w:cs="Times New Roman"/>
          <w:sz w:val="24"/>
          <w:szCs w:val="24"/>
        </w:rPr>
      </w:pPr>
      <w:r w:rsidRPr="009A7076">
        <w:rPr>
          <w:rFonts w:ascii="Times New Roman" w:hAnsi="Times New Roman" w:cs="Times New Roman"/>
          <w:sz w:val="24"/>
          <w:szCs w:val="24"/>
          <w:lang w:val="en-US"/>
        </w:rPr>
        <w:t xml:space="preserve">SLATING, T. A.; KESAN, J. </w:t>
      </w:r>
      <w:r>
        <w:rPr>
          <w:rFonts w:ascii="Times New Roman" w:hAnsi="Times New Roman" w:cs="Times New Roman"/>
          <w:sz w:val="24"/>
          <w:szCs w:val="24"/>
          <w:lang w:val="en-US"/>
        </w:rPr>
        <w:t xml:space="preserve">P. </w:t>
      </w:r>
      <w:r w:rsidRPr="00D34217">
        <w:rPr>
          <w:rFonts w:ascii="Times New Roman" w:hAnsi="Times New Roman" w:cs="Times New Roman"/>
          <w:sz w:val="24"/>
          <w:szCs w:val="24"/>
          <w:lang w:val="en-US"/>
        </w:rPr>
        <w:t>Making regulatory innovation keep pace with technological innovation.</w:t>
      </w:r>
      <w:r>
        <w:rPr>
          <w:rFonts w:ascii="Times New Roman" w:hAnsi="Times New Roman" w:cs="Times New Roman"/>
          <w:sz w:val="24"/>
          <w:szCs w:val="24"/>
          <w:lang w:val="en-US"/>
        </w:rPr>
        <w:t xml:space="preserve"> </w:t>
      </w:r>
      <w:r w:rsidRPr="00D34217">
        <w:rPr>
          <w:rFonts w:ascii="Times New Roman" w:hAnsi="Times New Roman" w:cs="Times New Roman"/>
          <w:b/>
          <w:sz w:val="24"/>
          <w:szCs w:val="24"/>
          <w:lang w:val="en-US"/>
        </w:rPr>
        <w:t>Wisconsin Law Review</w:t>
      </w:r>
      <w:r>
        <w:rPr>
          <w:rFonts w:ascii="Times New Roman" w:hAnsi="Times New Roman" w:cs="Times New Roman"/>
          <w:sz w:val="24"/>
          <w:szCs w:val="24"/>
          <w:lang w:val="en-US"/>
        </w:rPr>
        <w:t>, Dez.</w:t>
      </w:r>
      <w:r w:rsidRPr="00D34217">
        <w:rPr>
          <w:rFonts w:ascii="Times New Roman" w:hAnsi="Times New Roman" w:cs="Times New Roman"/>
          <w:sz w:val="24"/>
          <w:szCs w:val="24"/>
          <w:lang w:val="en-US"/>
        </w:rPr>
        <w:t xml:space="preserve"> 2011; Illinois Public Law Research Paper No. 10-34; Illinois Program in Law, Behavior and Social Science Paper No. </w:t>
      </w:r>
      <w:r w:rsidRPr="00E11BA9">
        <w:rPr>
          <w:rFonts w:ascii="Times New Roman" w:hAnsi="Times New Roman" w:cs="Times New Roman"/>
          <w:sz w:val="24"/>
          <w:szCs w:val="24"/>
        </w:rPr>
        <w:t xml:space="preserve">LBSS11-17. Disponível em: </w:t>
      </w:r>
      <w:hyperlink r:id="rId56" w:history="1">
        <w:r w:rsidRPr="00E11BA9">
          <w:rPr>
            <w:rStyle w:val="Hyperlink"/>
            <w:rFonts w:ascii="Times New Roman" w:hAnsi="Times New Roman"/>
            <w:sz w:val="24"/>
            <w:szCs w:val="24"/>
          </w:rPr>
          <w:t>http://ssrn.com/abstract=1805008</w:t>
        </w:r>
      </w:hyperlink>
      <w:r w:rsidR="00BD0ECB">
        <w:rPr>
          <w:rFonts w:ascii="Times New Roman" w:hAnsi="Times New Roman" w:cs="Times New Roman"/>
          <w:sz w:val="24"/>
          <w:szCs w:val="24"/>
        </w:rPr>
        <w:t>. Acesso em</w:t>
      </w:r>
      <w:r w:rsidRPr="00E11BA9">
        <w:rPr>
          <w:rFonts w:ascii="Times New Roman" w:hAnsi="Times New Roman" w:cs="Times New Roman"/>
          <w:sz w:val="24"/>
          <w:szCs w:val="24"/>
        </w:rPr>
        <w:t xml:space="preserve"> 26 jun. 2012.</w:t>
      </w:r>
    </w:p>
    <w:p w:rsidR="000436A2" w:rsidRPr="00E11BA9" w:rsidRDefault="000436A2" w:rsidP="000436A2">
      <w:pPr>
        <w:rPr>
          <w:rFonts w:ascii="Times New Roman" w:hAnsi="Times New Roman" w:cs="Times New Roman"/>
          <w:sz w:val="24"/>
          <w:szCs w:val="24"/>
        </w:rPr>
      </w:pPr>
    </w:p>
    <w:p w:rsidR="000436A2" w:rsidRDefault="000436A2" w:rsidP="000436A2">
      <w:pPr>
        <w:rPr>
          <w:rFonts w:ascii="Times New Roman" w:hAnsi="Times New Roman" w:cs="Times New Roman"/>
          <w:sz w:val="24"/>
          <w:szCs w:val="24"/>
          <w:lang w:val="en-US"/>
        </w:rPr>
      </w:pPr>
      <w:r>
        <w:rPr>
          <w:rFonts w:ascii="Times New Roman" w:hAnsi="Times New Roman" w:cs="Times New Roman"/>
          <w:sz w:val="24"/>
          <w:szCs w:val="24"/>
          <w:lang w:val="en-US"/>
        </w:rPr>
        <w:t>SORDA, G.; BANSE, M.;</w:t>
      </w:r>
      <w:r w:rsidRPr="00E50D54">
        <w:rPr>
          <w:rFonts w:ascii="Times New Roman" w:hAnsi="Times New Roman" w:cs="Times New Roman"/>
          <w:sz w:val="24"/>
          <w:szCs w:val="24"/>
          <w:lang w:val="en-US"/>
        </w:rPr>
        <w:t xml:space="preserve"> KEMFERT C. An overview of biofuel policies across the world, </w:t>
      </w:r>
      <w:r w:rsidRPr="00867755">
        <w:rPr>
          <w:rFonts w:ascii="Times New Roman" w:hAnsi="Times New Roman" w:cs="Times New Roman"/>
          <w:b/>
          <w:sz w:val="24"/>
          <w:szCs w:val="24"/>
          <w:lang w:val="en-US"/>
        </w:rPr>
        <w:t>Energy Policy</w:t>
      </w:r>
      <w:r w:rsidRPr="00E50D54">
        <w:rPr>
          <w:rFonts w:ascii="Times New Roman" w:hAnsi="Times New Roman" w:cs="Times New Roman"/>
          <w:sz w:val="24"/>
          <w:szCs w:val="24"/>
          <w:lang w:val="en-US"/>
        </w:rPr>
        <w:t>, nº 38, 2010.</w:t>
      </w:r>
    </w:p>
    <w:p w:rsidR="000436A2" w:rsidRDefault="000436A2" w:rsidP="000436A2">
      <w:pPr>
        <w:rPr>
          <w:rFonts w:ascii="Times New Roman" w:hAnsi="Times New Roman" w:cs="Times New Roman"/>
          <w:sz w:val="24"/>
          <w:szCs w:val="24"/>
          <w:lang w:val="en-US"/>
        </w:rPr>
      </w:pPr>
    </w:p>
    <w:p w:rsidR="000436A2" w:rsidRDefault="000436A2" w:rsidP="000436A2">
      <w:pPr>
        <w:rPr>
          <w:rFonts w:ascii="Times New Roman" w:hAnsi="Times New Roman" w:cs="Times New Roman"/>
          <w:sz w:val="24"/>
          <w:szCs w:val="24"/>
          <w:lang w:val="en-US"/>
        </w:rPr>
      </w:pPr>
      <w:r>
        <w:rPr>
          <w:rFonts w:ascii="Times New Roman" w:hAnsi="Times New Roman" w:cs="Times New Roman"/>
          <w:sz w:val="24"/>
          <w:szCs w:val="24"/>
        </w:rPr>
        <w:t xml:space="preserve">SOUZA, </w:t>
      </w:r>
      <w:r w:rsidRPr="00116B36">
        <w:rPr>
          <w:rFonts w:ascii="Times New Roman" w:hAnsi="Times New Roman" w:cs="Times New Roman"/>
          <w:sz w:val="24"/>
          <w:szCs w:val="24"/>
        </w:rPr>
        <w:t xml:space="preserve">Z. </w:t>
      </w:r>
      <w:r w:rsidRPr="00116B36">
        <w:rPr>
          <w:rFonts w:ascii="Times New Roman" w:hAnsi="Times New Roman" w:cs="Times New Roman"/>
          <w:b/>
          <w:sz w:val="24"/>
          <w:szCs w:val="24"/>
        </w:rPr>
        <w:t>Geração de Energia Elétrica Excedente no Setor Sucroalcooleiro</w:t>
      </w:r>
      <w:r>
        <w:rPr>
          <w:rFonts w:ascii="Times New Roman" w:hAnsi="Times New Roman" w:cs="Times New Roman"/>
          <w:sz w:val="24"/>
          <w:szCs w:val="24"/>
        </w:rPr>
        <w:t xml:space="preserve">. </w:t>
      </w:r>
      <w:r w:rsidRPr="00116B36">
        <w:rPr>
          <w:rFonts w:ascii="Times New Roman" w:hAnsi="Times New Roman" w:cs="Times New Roman"/>
          <w:sz w:val="24"/>
          <w:szCs w:val="24"/>
        </w:rPr>
        <w:t>Tese de Doutorado. Departamento de Engen</w:t>
      </w:r>
      <w:r>
        <w:rPr>
          <w:rFonts w:ascii="Times New Roman" w:hAnsi="Times New Roman" w:cs="Times New Roman"/>
          <w:sz w:val="24"/>
          <w:szCs w:val="24"/>
        </w:rPr>
        <w:t xml:space="preserve">haria de Produção/Universidade </w:t>
      </w:r>
      <w:r w:rsidRPr="00116B36">
        <w:rPr>
          <w:rFonts w:ascii="Times New Roman" w:hAnsi="Times New Roman" w:cs="Times New Roman"/>
          <w:sz w:val="24"/>
          <w:szCs w:val="24"/>
        </w:rPr>
        <w:t xml:space="preserve">Federal de São Carlos. </w:t>
      </w:r>
      <w:r w:rsidRPr="00570599">
        <w:rPr>
          <w:rFonts w:ascii="Times New Roman" w:hAnsi="Times New Roman" w:cs="Times New Roman"/>
          <w:sz w:val="24"/>
          <w:szCs w:val="24"/>
          <w:lang w:val="en-US"/>
        </w:rPr>
        <w:t>São Carlos, 2003</w:t>
      </w:r>
      <w:r>
        <w:rPr>
          <w:rFonts w:ascii="Times New Roman" w:hAnsi="Times New Roman" w:cs="Times New Roman"/>
          <w:sz w:val="24"/>
          <w:szCs w:val="24"/>
          <w:lang w:val="en-US"/>
        </w:rPr>
        <w:t>.</w:t>
      </w:r>
    </w:p>
    <w:p w:rsidR="000436A2" w:rsidRDefault="000436A2" w:rsidP="000436A2">
      <w:pPr>
        <w:rPr>
          <w:rFonts w:ascii="Times New Roman" w:hAnsi="Times New Roman" w:cs="Times New Roman"/>
          <w:sz w:val="24"/>
          <w:szCs w:val="24"/>
          <w:lang w:val="en-US"/>
        </w:rPr>
      </w:pPr>
    </w:p>
    <w:p w:rsidR="000436A2" w:rsidRDefault="000436A2" w:rsidP="000436A2">
      <w:pPr>
        <w:rPr>
          <w:rFonts w:ascii="Times New Roman" w:hAnsi="Times New Roman" w:cs="Times New Roman"/>
          <w:sz w:val="24"/>
          <w:szCs w:val="24"/>
          <w:lang w:val="en-US"/>
        </w:rPr>
      </w:pPr>
      <w:r w:rsidRPr="00E50D54">
        <w:rPr>
          <w:rFonts w:ascii="Times New Roman" w:hAnsi="Times New Roman" w:cs="Times New Roman"/>
          <w:sz w:val="24"/>
          <w:szCs w:val="24"/>
          <w:lang w:val="en-US"/>
        </w:rPr>
        <w:t xml:space="preserve">SPILLER, P., TOMMASI, M. The Institutions of Regulation: An Application to Public Utilities. </w:t>
      </w:r>
      <w:r w:rsidRPr="00867755">
        <w:rPr>
          <w:rFonts w:ascii="Times New Roman" w:hAnsi="Times New Roman" w:cs="Times New Roman"/>
          <w:sz w:val="24"/>
          <w:szCs w:val="24"/>
          <w:lang w:val="en-US"/>
        </w:rPr>
        <w:t xml:space="preserve">In: MÉNARD, C., SHIRLEY, M. (Eds.), </w:t>
      </w:r>
      <w:r w:rsidRPr="00867755">
        <w:rPr>
          <w:rFonts w:ascii="Times New Roman" w:hAnsi="Times New Roman" w:cs="Times New Roman"/>
          <w:b/>
          <w:sz w:val="24"/>
          <w:szCs w:val="24"/>
          <w:lang w:val="en-US"/>
        </w:rPr>
        <w:t>Handbook of New Institutional Economics</w:t>
      </w:r>
      <w:r w:rsidRPr="00867755">
        <w:rPr>
          <w:rFonts w:ascii="Times New Roman" w:hAnsi="Times New Roman" w:cs="Times New Roman"/>
          <w:sz w:val="24"/>
          <w:szCs w:val="24"/>
          <w:lang w:val="en-US"/>
        </w:rPr>
        <w:t xml:space="preserve">, Springer, </w:t>
      </w:r>
      <w:r>
        <w:rPr>
          <w:rFonts w:ascii="Times New Roman" w:hAnsi="Times New Roman" w:cs="Times New Roman"/>
          <w:sz w:val="24"/>
          <w:szCs w:val="24"/>
          <w:lang w:val="en-US"/>
        </w:rPr>
        <w:t xml:space="preserve">p. </w:t>
      </w:r>
      <w:r w:rsidRPr="00867755">
        <w:rPr>
          <w:rFonts w:ascii="Times New Roman" w:hAnsi="Times New Roman" w:cs="Times New Roman"/>
          <w:sz w:val="24"/>
          <w:szCs w:val="24"/>
          <w:lang w:val="en-US"/>
        </w:rPr>
        <w:t>515-543</w:t>
      </w:r>
      <w:r>
        <w:rPr>
          <w:rFonts w:ascii="Times New Roman" w:hAnsi="Times New Roman" w:cs="Times New Roman"/>
          <w:sz w:val="24"/>
          <w:szCs w:val="24"/>
          <w:lang w:val="en-US"/>
        </w:rPr>
        <w:t xml:space="preserve">, </w:t>
      </w:r>
      <w:r w:rsidRPr="00867755">
        <w:rPr>
          <w:rFonts w:ascii="Times New Roman" w:hAnsi="Times New Roman" w:cs="Times New Roman"/>
          <w:sz w:val="24"/>
          <w:szCs w:val="24"/>
          <w:lang w:val="en-US"/>
        </w:rPr>
        <w:t>2005.</w:t>
      </w:r>
    </w:p>
    <w:p w:rsidR="000436A2" w:rsidRPr="00570599" w:rsidRDefault="000436A2" w:rsidP="000436A2">
      <w:pPr>
        <w:rPr>
          <w:rFonts w:ascii="Times New Roman" w:hAnsi="Times New Roman" w:cs="Times New Roman"/>
          <w:sz w:val="24"/>
          <w:szCs w:val="24"/>
          <w:lang w:val="en-US"/>
        </w:rPr>
      </w:pPr>
    </w:p>
    <w:p w:rsidR="000436A2" w:rsidRDefault="000436A2" w:rsidP="000436A2">
      <w:pPr>
        <w:rPr>
          <w:rFonts w:ascii="Times New Roman" w:hAnsi="Times New Roman" w:cs="Times New Roman"/>
          <w:sz w:val="24"/>
          <w:szCs w:val="24"/>
          <w:lang w:val="en-US"/>
        </w:rPr>
      </w:pPr>
      <w:r w:rsidRPr="00A61905">
        <w:rPr>
          <w:rFonts w:ascii="Times New Roman" w:hAnsi="Times New Roman" w:cs="Times New Roman"/>
          <w:sz w:val="24"/>
          <w:szCs w:val="24"/>
          <w:lang w:val="en-US"/>
        </w:rPr>
        <w:t>STIGLER</w:t>
      </w:r>
      <w:r>
        <w:rPr>
          <w:rFonts w:ascii="Times New Roman" w:hAnsi="Times New Roman" w:cs="Times New Roman"/>
          <w:sz w:val="24"/>
          <w:szCs w:val="24"/>
          <w:lang w:val="en-US"/>
        </w:rPr>
        <w:t xml:space="preserve">, G. </w:t>
      </w:r>
      <w:r w:rsidRPr="00A61905">
        <w:rPr>
          <w:rFonts w:ascii="Times New Roman" w:hAnsi="Times New Roman" w:cs="Times New Roman"/>
          <w:sz w:val="24"/>
          <w:szCs w:val="24"/>
          <w:lang w:val="en-US"/>
        </w:rPr>
        <w:t xml:space="preserve">The theory of economic regulation. </w:t>
      </w:r>
      <w:r w:rsidRPr="00A61905">
        <w:rPr>
          <w:rFonts w:ascii="Times New Roman" w:hAnsi="Times New Roman" w:cs="Times New Roman"/>
          <w:b/>
          <w:sz w:val="24"/>
          <w:szCs w:val="24"/>
          <w:lang w:val="en-US"/>
        </w:rPr>
        <w:t>The Bell Journal of Economics and Management Science</w:t>
      </w:r>
      <w:r>
        <w:rPr>
          <w:rFonts w:ascii="Times New Roman" w:hAnsi="Times New Roman" w:cs="Times New Roman"/>
          <w:sz w:val="24"/>
          <w:szCs w:val="24"/>
          <w:lang w:val="en-US"/>
        </w:rPr>
        <w:t>, vol. 2, n. 1,</w:t>
      </w:r>
      <w:r w:rsidRPr="00A61905">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A61905">
        <w:rPr>
          <w:rFonts w:ascii="Times New Roman" w:hAnsi="Times New Roman" w:cs="Times New Roman"/>
          <w:sz w:val="24"/>
          <w:szCs w:val="24"/>
          <w:lang w:val="en-US"/>
        </w:rPr>
        <w:t>. 1-21</w:t>
      </w:r>
      <w:r>
        <w:rPr>
          <w:rFonts w:ascii="Times New Roman" w:hAnsi="Times New Roman" w:cs="Times New Roman"/>
          <w:sz w:val="24"/>
          <w:szCs w:val="24"/>
          <w:lang w:val="en-US"/>
        </w:rPr>
        <w:t xml:space="preserve">, </w:t>
      </w:r>
      <w:r w:rsidRPr="00A61905">
        <w:rPr>
          <w:rFonts w:ascii="Times New Roman" w:hAnsi="Times New Roman" w:cs="Times New Roman"/>
          <w:sz w:val="24"/>
          <w:szCs w:val="24"/>
          <w:lang w:val="en-US"/>
        </w:rPr>
        <w:t>1971.</w:t>
      </w:r>
    </w:p>
    <w:p w:rsidR="000436A2" w:rsidRDefault="000436A2" w:rsidP="000436A2">
      <w:pPr>
        <w:rPr>
          <w:rFonts w:ascii="Times New Roman" w:hAnsi="Times New Roman" w:cs="Times New Roman"/>
          <w:sz w:val="24"/>
          <w:szCs w:val="24"/>
          <w:lang w:val="en-US"/>
        </w:rPr>
      </w:pPr>
    </w:p>
    <w:p w:rsidR="000436A2" w:rsidRDefault="000436A2" w:rsidP="000436A2">
      <w:pPr>
        <w:rPr>
          <w:rFonts w:ascii="Times New Roman" w:hAnsi="Times New Roman" w:cs="Times New Roman"/>
          <w:sz w:val="24"/>
          <w:szCs w:val="24"/>
          <w:lang w:val="en-US"/>
        </w:rPr>
      </w:pPr>
      <w:r>
        <w:rPr>
          <w:rFonts w:ascii="Times New Roman" w:hAnsi="Times New Roman" w:cs="Times New Roman"/>
          <w:sz w:val="24"/>
          <w:szCs w:val="24"/>
          <w:lang w:val="en-US"/>
        </w:rPr>
        <w:t>SUURS, R.; HEKKERT</w:t>
      </w:r>
      <w:r w:rsidRPr="00771EF9">
        <w:rPr>
          <w:rFonts w:ascii="Times New Roman" w:hAnsi="Times New Roman" w:cs="Times New Roman"/>
          <w:sz w:val="24"/>
          <w:szCs w:val="24"/>
          <w:lang w:val="en-US"/>
        </w:rPr>
        <w:t xml:space="preserve">, M. Competition between first and second generation technologies: Lessons from the formation of a biofuels innovation System in the Netherlands. </w:t>
      </w:r>
      <w:r w:rsidRPr="00FD701C">
        <w:rPr>
          <w:rFonts w:ascii="Times New Roman" w:hAnsi="Times New Roman" w:cs="Times New Roman"/>
          <w:b/>
          <w:sz w:val="24"/>
          <w:szCs w:val="24"/>
          <w:lang w:val="en-US"/>
        </w:rPr>
        <w:t>Energy</w:t>
      </w:r>
      <w:r w:rsidRPr="00FD701C">
        <w:rPr>
          <w:rFonts w:ascii="Times New Roman" w:hAnsi="Times New Roman" w:cs="Times New Roman"/>
          <w:sz w:val="24"/>
          <w:szCs w:val="24"/>
          <w:lang w:val="en-US"/>
        </w:rPr>
        <w:t>, v. 34, p. 669-679, 2009.</w:t>
      </w:r>
    </w:p>
    <w:p w:rsidR="000B7259" w:rsidRDefault="000B7259" w:rsidP="000436A2">
      <w:pPr>
        <w:rPr>
          <w:rFonts w:ascii="Times New Roman" w:hAnsi="Times New Roman" w:cs="Times New Roman"/>
          <w:sz w:val="24"/>
          <w:szCs w:val="24"/>
          <w:lang w:val="en-US"/>
        </w:rPr>
      </w:pPr>
    </w:p>
    <w:p w:rsidR="00E9664C" w:rsidRPr="00E9664C" w:rsidRDefault="00E9664C" w:rsidP="000436A2">
      <w:pPr>
        <w:rPr>
          <w:rFonts w:ascii="Times New Roman" w:hAnsi="Times New Roman" w:cs="Times New Roman"/>
          <w:sz w:val="24"/>
          <w:szCs w:val="24"/>
          <w:lang w:val="en-US"/>
        </w:rPr>
      </w:pPr>
      <w:r w:rsidRPr="00E9664C">
        <w:rPr>
          <w:rFonts w:ascii="Times New Roman" w:hAnsi="Times New Roman" w:cs="Times New Roman"/>
          <w:sz w:val="24"/>
          <w:szCs w:val="24"/>
          <w:lang w:val="en-US"/>
        </w:rPr>
        <w:t>TEECE, D.; PISANO, G. The dynamic capabilities of f</w:t>
      </w:r>
      <w:r>
        <w:rPr>
          <w:rFonts w:ascii="Times New Roman" w:hAnsi="Times New Roman" w:cs="Times New Roman"/>
          <w:sz w:val="24"/>
          <w:szCs w:val="24"/>
          <w:lang w:val="en-US"/>
        </w:rPr>
        <w:t xml:space="preserve">irms: An introduction. </w:t>
      </w:r>
      <w:r w:rsidRPr="00E9664C">
        <w:rPr>
          <w:rFonts w:ascii="Times New Roman" w:hAnsi="Times New Roman" w:cs="Times New Roman"/>
          <w:b/>
          <w:sz w:val="24"/>
          <w:szCs w:val="24"/>
          <w:lang w:val="en-US"/>
        </w:rPr>
        <w:t>Industrial and Corporate Change</w:t>
      </w:r>
      <w:r>
        <w:rPr>
          <w:rFonts w:ascii="Times New Roman" w:hAnsi="Times New Roman" w:cs="Times New Roman"/>
          <w:sz w:val="24"/>
          <w:szCs w:val="24"/>
          <w:lang w:val="en-US"/>
        </w:rPr>
        <w:t>, v. 3, n. 3, p. 537-556, 1994.</w:t>
      </w:r>
    </w:p>
    <w:p w:rsidR="00E9664C" w:rsidRPr="00E9664C" w:rsidRDefault="00E9664C" w:rsidP="000436A2">
      <w:pPr>
        <w:rPr>
          <w:rFonts w:ascii="Times New Roman" w:hAnsi="Times New Roman" w:cs="Times New Roman"/>
          <w:sz w:val="24"/>
          <w:szCs w:val="24"/>
          <w:lang w:val="en-US"/>
        </w:rPr>
      </w:pPr>
    </w:p>
    <w:p w:rsidR="000B7259" w:rsidRPr="00FD701C" w:rsidRDefault="000B7259" w:rsidP="000436A2">
      <w:pPr>
        <w:rPr>
          <w:rFonts w:ascii="Times New Roman" w:hAnsi="Times New Roman" w:cs="Times New Roman"/>
          <w:sz w:val="24"/>
          <w:szCs w:val="24"/>
          <w:lang w:val="en-US"/>
        </w:rPr>
      </w:pPr>
      <w:r>
        <w:rPr>
          <w:rFonts w:ascii="Times New Roman" w:hAnsi="Times New Roman" w:cs="Times New Roman"/>
          <w:sz w:val="24"/>
          <w:szCs w:val="24"/>
          <w:lang w:val="en-US"/>
        </w:rPr>
        <w:t>TEECE, D.</w:t>
      </w:r>
      <w:r w:rsidR="00E9664C">
        <w:rPr>
          <w:rFonts w:ascii="Times New Roman" w:hAnsi="Times New Roman" w:cs="Times New Roman"/>
          <w:sz w:val="24"/>
          <w:szCs w:val="24"/>
          <w:lang w:val="en-US"/>
        </w:rPr>
        <w:t>; PISANO, G.; SHUEN, A.</w:t>
      </w:r>
      <w:r>
        <w:rPr>
          <w:rFonts w:ascii="Times New Roman" w:hAnsi="Times New Roman" w:cs="Times New Roman"/>
          <w:sz w:val="24"/>
          <w:szCs w:val="24"/>
          <w:lang w:val="en-US"/>
        </w:rPr>
        <w:t xml:space="preserve"> Dynamic capabilities and strategic management. </w:t>
      </w:r>
      <w:r w:rsidRPr="00831C97">
        <w:rPr>
          <w:rFonts w:ascii="Times New Roman" w:hAnsi="Times New Roman" w:cs="Times New Roman"/>
          <w:b/>
          <w:sz w:val="24"/>
          <w:szCs w:val="24"/>
          <w:lang w:val="en-US"/>
        </w:rPr>
        <w:t xml:space="preserve">Strategic </w:t>
      </w:r>
      <w:r w:rsidR="00831C97" w:rsidRPr="00831C97">
        <w:rPr>
          <w:rFonts w:ascii="Times New Roman" w:hAnsi="Times New Roman" w:cs="Times New Roman"/>
          <w:b/>
          <w:sz w:val="24"/>
          <w:szCs w:val="24"/>
          <w:lang w:val="en-US"/>
        </w:rPr>
        <w:t>M</w:t>
      </w:r>
      <w:r w:rsidRPr="00831C97">
        <w:rPr>
          <w:rFonts w:ascii="Times New Roman" w:hAnsi="Times New Roman" w:cs="Times New Roman"/>
          <w:b/>
          <w:sz w:val="24"/>
          <w:szCs w:val="24"/>
          <w:lang w:val="en-US"/>
        </w:rPr>
        <w:t xml:space="preserve">anagement </w:t>
      </w:r>
      <w:r w:rsidR="00831C97" w:rsidRPr="00831C97">
        <w:rPr>
          <w:rFonts w:ascii="Times New Roman" w:hAnsi="Times New Roman" w:cs="Times New Roman"/>
          <w:b/>
          <w:sz w:val="24"/>
          <w:szCs w:val="24"/>
          <w:lang w:val="en-US"/>
        </w:rPr>
        <w:t>Journal</w:t>
      </w:r>
      <w:r w:rsidR="00831C97">
        <w:rPr>
          <w:rFonts w:ascii="Times New Roman" w:hAnsi="Times New Roman" w:cs="Times New Roman"/>
          <w:sz w:val="24"/>
          <w:szCs w:val="24"/>
          <w:lang w:val="en-US"/>
        </w:rPr>
        <w:t>, v. 18, n. 7, p. 509-533, ago. 1997.</w:t>
      </w:r>
    </w:p>
    <w:p w:rsidR="000436A2" w:rsidRDefault="000436A2" w:rsidP="000436A2">
      <w:pPr>
        <w:rPr>
          <w:rFonts w:ascii="Times New Roman" w:hAnsi="Times New Roman" w:cs="Times New Roman"/>
          <w:sz w:val="24"/>
          <w:szCs w:val="24"/>
          <w:lang w:val="en-US"/>
        </w:rPr>
      </w:pPr>
    </w:p>
    <w:p w:rsidR="002462BC" w:rsidRDefault="002462BC" w:rsidP="000436A2">
      <w:pPr>
        <w:rPr>
          <w:rFonts w:ascii="Times New Roman" w:hAnsi="Times New Roman" w:cs="Times New Roman"/>
          <w:sz w:val="24"/>
          <w:szCs w:val="24"/>
          <w:lang w:val="en-US"/>
        </w:rPr>
      </w:pPr>
      <w:r w:rsidRPr="002462BC">
        <w:rPr>
          <w:rFonts w:ascii="Times New Roman" w:hAnsi="Times New Roman" w:cs="Times New Roman"/>
          <w:sz w:val="24"/>
          <w:szCs w:val="24"/>
          <w:lang w:val="en-US"/>
        </w:rPr>
        <w:t xml:space="preserve">TIDD J.; BESSANT, J.; PAVITT, K., </w:t>
      </w:r>
      <w:r w:rsidRPr="002462BC">
        <w:rPr>
          <w:rFonts w:ascii="Times New Roman" w:hAnsi="Times New Roman" w:cs="Times New Roman"/>
          <w:b/>
          <w:sz w:val="24"/>
          <w:szCs w:val="24"/>
          <w:lang w:val="en-US"/>
        </w:rPr>
        <w:t>Managing Innovation</w:t>
      </w:r>
      <w:r w:rsidRPr="00216BE5">
        <w:rPr>
          <w:rFonts w:ascii="Times New Roman" w:hAnsi="Times New Roman" w:cs="Times New Roman"/>
          <w:sz w:val="24"/>
          <w:szCs w:val="24"/>
          <w:lang w:val="en-US"/>
        </w:rPr>
        <w:t>: Integrating Technological, Market and Organizational Change</w:t>
      </w:r>
      <w:r>
        <w:rPr>
          <w:rFonts w:ascii="Times New Roman" w:hAnsi="Times New Roman" w:cs="Times New Roman"/>
          <w:sz w:val="24"/>
          <w:szCs w:val="24"/>
          <w:lang w:val="en-US"/>
        </w:rPr>
        <w:t>. Nova Iorque: John Wiley, 2005</w:t>
      </w:r>
      <w:r w:rsidRPr="002462BC">
        <w:rPr>
          <w:rFonts w:ascii="Times New Roman" w:hAnsi="Times New Roman" w:cs="Times New Roman"/>
          <w:sz w:val="24"/>
          <w:szCs w:val="24"/>
          <w:lang w:val="en-US"/>
        </w:rPr>
        <w:t>.</w:t>
      </w:r>
    </w:p>
    <w:p w:rsidR="002462BC" w:rsidRPr="00FD701C" w:rsidRDefault="002462BC" w:rsidP="000436A2">
      <w:pPr>
        <w:rPr>
          <w:rFonts w:ascii="Times New Roman" w:hAnsi="Times New Roman" w:cs="Times New Roman"/>
          <w:sz w:val="24"/>
          <w:szCs w:val="24"/>
          <w:lang w:val="en-US"/>
        </w:rPr>
      </w:pPr>
    </w:p>
    <w:p w:rsidR="000436A2" w:rsidRPr="00FD701C" w:rsidRDefault="000436A2" w:rsidP="000436A2">
      <w:pPr>
        <w:rPr>
          <w:rFonts w:ascii="Times New Roman" w:hAnsi="Times New Roman" w:cs="Times New Roman"/>
          <w:sz w:val="24"/>
          <w:szCs w:val="24"/>
          <w:lang w:val="en-US"/>
        </w:rPr>
      </w:pPr>
      <w:r w:rsidRPr="000F2643">
        <w:rPr>
          <w:rFonts w:ascii="Times New Roman" w:hAnsi="Times New Roman" w:cs="Times New Roman"/>
          <w:sz w:val="24"/>
          <w:szCs w:val="24"/>
          <w:lang w:val="en-US"/>
        </w:rPr>
        <w:t xml:space="preserve">TIMILSINA, G.; SHRESTHA, A. </w:t>
      </w:r>
      <w:r w:rsidRPr="000F2643">
        <w:rPr>
          <w:rFonts w:ascii="Times New Roman" w:hAnsi="Times New Roman" w:cs="Times New Roman"/>
          <w:b/>
          <w:sz w:val="24"/>
          <w:szCs w:val="24"/>
          <w:lang w:val="en-US"/>
        </w:rPr>
        <w:t xml:space="preserve">Biofuels: </w:t>
      </w:r>
      <w:r w:rsidRPr="00216BE5">
        <w:rPr>
          <w:rFonts w:ascii="Times New Roman" w:hAnsi="Times New Roman" w:cs="Times New Roman"/>
          <w:sz w:val="24"/>
          <w:szCs w:val="24"/>
          <w:lang w:val="en-US"/>
        </w:rPr>
        <w:t>Markets, Targets and Impacts</w:t>
      </w:r>
      <w:r w:rsidRPr="000F2643">
        <w:rPr>
          <w:rFonts w:ascii="Times New Roman" w:hAnsi="Times New Roman" w:cs="Times New Roman"/>
          <w:sz w:val="24"/>
          <w:szCs w:val="24"/>
          <w:lang w:val="en-US"/>
        </w:rPr>
        <w:t xml:space="preserve">. </w:t>
      </w:r>
      <w:r w:rsidRPr="00FD701C">
        <w:rPr>
          <w:rFonts w:ascii="Times New Roman" w:hAnsi="Times New Roman" w:cs="Times New Roman"/>
          <w:sz w:val="24"/>
          <w:szCs w:val="24"/>
          <w:lang w:val="en-US"/>
        </w:rPr>
        <w:t>Policy Research Working Paper Series, Banco Mundial, 2010.</w:t>
      </w:r>
    </w:p>
    <w:p w:rsidR="000436A2" w:rsidRPr="00FD701C" w:rsidRDefault="000436A2" w:rsidP="000436A2">
      <w:pPr>
        <w:rPr>
          <w:rFonts w:ascii="Times New Roman" w:hAnsi="Times New Roman" w:cs="Times New Roman"/>
          <w:sz w:val="24"/>
          <w:szCs w:val="24"/>
          <w:lang w:val="en-US"/>
        </w:rPr>
      </w:pPr>
    </w:p>
    <w:p w:rsidR="000436A2" w:rsidRPr="00756A9D" w:rsidRDefault="000436A2" w:rsidP="000436A2">
      <w:pPr>
        <w:rPr>
          <w:rFonts w:ascii="Times New Roman" w:hAnsi="Times New Roman" w:cs="Times New Roman"/>
          <w:sz w:val="24"/>
          <w:szCs w:val="24"/>
          <w:lang w:val="en-US"/>
        </w:rPr>
      </w:pPr>
      <w:r>
        <w:rPr>
          <w:rFonts w:ascii="Times New Roman" w:hAnsi="Times New Roman" w:cs="Times New Roman"/>
          <w:sz w:val="24"/>
          <w:szCs w:val="24"/>
          <w:lang w:val="en-US"/>
        </w:rPr>
        <w:t xml:space="preserve">________. How much hope should we have for biofuels? </w:t>
      </w:r>
      <w:r w:rsidRPr="00756A9D">
        <w:rPr>
          <w:rFonts w:ascii="Times New Roman" w:hAnsi="Times New Roman" w:cs="Times New Roman"/>
          <w:b/>
          <w:sz w:val="24"/>
          <w:szCs w:val="24"/>
          <w:lang w:val="en-US"/>
        </w:rPr>
        <w:t>Energy</w:t>
      </w:r>
      <w:r w:rsidRPr="00756A9D">
        <w:rPr>
          <w:rFonts w:ascii="Times New Roman" w:hAnsi="Times New Roman" w:cs="Times New Roman"/>
          <w:sz w:val="24"/>
          <w:szCs w:val="24"/>
          <w:lang w:val="en-US"/>
        </w:rPr>
        <w:t>, v. 36, p. 2055-2069, 2011.</w:t>
      </w:r>
    </w:p>
    <w:p w:rsidR="00CC21CE" w:rsidRPr="00756A9D" w:rsidRDefault="00CC21CE" w:rsidP="000436A2">
      <w:pPr>
        <w:rPr>
          <w:rFonts w:ascii="Times New Roman" w:hAnsi="Times New Roman" w:cs="Times New Roman"/>
          <w:sz w:val="24"/>
          <w:szCs w:val="24"/>
          <w:lang w:val="en-US"/>
        </w:rPr>
      </w:pPr>
    </w:p>
    <w:p w:rsidR="00CC21CE" w:rsidRPr="00CC21CE" w:rsidRDefault="00CC21CE" w:rsidP="000436A2">
      <w:pPr>
        <w:rPr>
          <w:rFonts w:ascii="Times New Roman" w:hAnsi="Times New Roman" w:cs="Times New Roman"/>
          <w:sz w:val="24"/>
          <w:szCs w:val="24"/>
          <w:lang w:val="en-US"/>
        </w:rPr>
      </w:pPr>
      <w:r w:rsidRPr="00CC21CE">
        <w:rPr>
          <w:rFonts w:ascii="Times New Roman" w:hAnsi="Times New Roman" w:cs="Times New Roman"/>
          <w:sz w:val="24"/>
          <w:szCs w:val="24"/>
          <w:lang w:val="en-US"/>
        </w:rPr>
        <w:t>UTTERBACK, J. M. The Dynamics of Product and Process Innovation in Industr</w:t>
      </w:r>
      <w:r>
        <w:rPr>
          <w:rFonts w:ascii="Times New Roman" w:hAnsi="Times New Roman" w:cs="Times New Roman"/>
          <w:sz w:val="24"/>
          <w:szCs w:val="24"/>
          <w:lang w:val="en-US"/>
        </w:rPr>
        <w:t>y. In C.T. Hill; J.M. Utterback</w:t>
      </w:r>
      <w:r w:rsidRPr="00CC21C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CC21CE">
        <w:rPr>
          <w:rFonts w:ascii="Times New Roman" w:hAnsi="Times New Roman" w:cs="Times New Roman"/>
          <w:sz w:val="24"/>
          <w:szCs w:val="24"/>
          <w:lang w:val="en-US"/>
        </w:rPr>
        <w:t>eds.</w:t>
      </w:r>
      <w:r>
        <w:rPr>
          <w:rFonts w:ascii="Times New Roman" w:hAnsi="Times New Roman" w:cs="Times New Roman"/>
          <w:sz w:val="24"/>
          <w:szCs w:val="24"/>
          <w:lang w:val="en-US"/>
        </w:rPr>
        <w:t xml:space="preserve">). </w:t>
      </w:r>
      <w:r w:rsidRPr="00CC21CE">
        <w:rPr>
          <w:rFonts w:ascii="Times New Roman" w:hAnsi="Times New Roman" w:cs="Times New Roman"/>
          <w:b/>
          <w:sz w:val="24"/>
          <w:szCs w:val="24"/>
          <w:lang w:val="en-US"/>
        </w:rPr>
        <w:t>Technological Innovation for a Dynamic Economy</w:t>
      </w:r>
      <w:r w:rsidRPr="00CC21CE">
        <w:rPr>
          <w:rFonts w:ascii="Times New Roman" w:hAnsi="Times New Roman" w:cs="Times New Roman"/>
          <w:sz w:val="24"/>
          <w:szCs w:val="24"/>
          <w:lang w:val="en-US"/>
        </w:rPr>
        <w:t>, Elmsford, New York: Pergamon Press, 1979.</w:t>
      </w:r>
    </w:p>
    <w:p w:rsidR="000436A2" w:rsidRPr="00CC21CE" w:rsidRDefault="000436A2" w:rsidP="000436A2">
      <w:pPr>
        <w:rPr>
          <w:rFonts w:ascii="Times New Roman" w:hAnsi="Times New Roman" w:cs="Times New Roman"/>
          <w:sz w:val="24"/>
          <w:szCs w:val="24"/>
          <w:lang w:val="en-US"/>
        </w:rPr>
      </w:pPr>
    </w:p>
    <w:p w:rsidR="000436A2" w:rsidRDefault="000436A2" w:rsidP="000436A2">
      <w:pPr>
        <w:rPr>
          <w:rFonts w:ascii="Times New Roman" w:hAnsi="Times New Roman" w:cs="Times New Roman"/>
          <w:sz w:val="24"/>
          <w:szCs w:val="24"/>
          <w:lang w:val="en-US"/>
        </w:rPr>
      </w:pPr>
      <w:r w:rsidRPr="00BE7863">
        <w:rPr>
          <w:rFonts w:ascii="Times New Roman" w:hAnsi="Times New Roman" w:cs="Times New Roman"/>
          <w:sz w:val="24"/>
          <w:szCs w:val="24"/>
        </w:rPr>
        <w:t xml:space="preserve">VON DER WEID, J. Agrocombustíveis: solução ou problema? In: ABRAMOVAY, R. (Org.), </w:t>
      </w:r>
      <w:r w:rsidRPr="00BE7863">
        <w:rPr>
          <w:rFonts w:ascii="Times New Roman" w:hAnsi="Times New Roman" w:cs="Times New Roman"/>
          <w:b/>
          <w:sz w:val="24"/>
          <w:szCs w:val="24"/>
        </w:rPr>
        <w:t>Biocombustíveis: a energia da controvérsia</w:t>
      </w:r>
      <w:r w:rsidRPr="00BE7863">
        <w:rPr>
          <w:rFonts w:ascii="Times New Roman" w:hAnsi="Times New Roman" w:cs="Times New Roman"/>
          <w:sz w:val="24"/>
          <w:szCs w:val="24"/>
        </w:rPr>
        <w:t xml:space="preserve">. </w:t>
      </w:r>
      <w:r w:rsidRPr="00D3014C">
        <w:rPr>
          <w:rFonts w:ascii="Times New Roman" w:hAnsi="Times New Roman" w:cs="Times New Roman"/>
          <w:sz w:val="24"/>
          <w:szCs w:val="24"/>
          <w:lang w:val="en-US"/>
        </w:rPr>
        <w:t xml:space="preserve">São Paulo: Ed. Senac, 2009. </w:t>
      </w:r>
      <w:r w:rsidRPr="00F87468">
        <w:rPr>
          <w:rFonts w:ascii="Times New Roman" w:hAnsi="Times New Roman" w:cs="Times New Roman"/>
          <w:sz w:val="24"/>
          <w:szCs w:val="24"/>
          <w:lang w:val="en-US"/>
        </w:rPr>
        <w:t>Cap. 3, p. 99-142.</w:t>
      </w:r>
    </w:p>
    <w:p w:rsidR="000436A2" w:rsidRPr="00F87468" w:rsidRDefault="000436A2" w:rsidP="000436A2">
      <w:pPr>
        <w:rPr>
          <w:rFonts w:ascii="Times New Roman" w:hAnsi="Times New Roman" w:cs="Times New Roman"/>
          <w:sz w:val="24"/>
          <w:szCs w:val="24"/>
          <w:lang w:val="en-US"/>
        </w:rPr>
      </w:pPr>
    </w:p>
    <w:p w:rsidR="000436A2" w:rsidRPr="00F27AC4" w:rsidRDefault="000436A2" w:rsidP="000436A2">
      <w:pPr>
        <w:rPr>
          <w:rFonts w:ascii="Times New Roman" w:hAnsi="Times New Roman" w:cs="Times New Roman"/>
          <w:sz w:val="24"/>
          <w:szCs w:val="24"/>
          <w:lang w:val="en-US"/>
        </w:rPr>
      </w:pPr>
      <w:r w:rsidRPr="006E1386">
        <w:rPr>
          <w:rFonts w:ascii="Times New Roman" w:hAnsi="Times New Roman" w:cs="Times New Roman"/>
          <w:sz w:val="24"/>
          <w:szCs w:val="24"/>
          <w:lang w:val="en-US"/>
        </w:rPr>
        <w:t xml:space="preserve">WIESENTHAL, T., LEDUC, G., CHRISTIDIS, P., SCHADE, B., PELKMANS, L., GOVAERTS, L., GEORGOPOULOS, P. Biofuel support policies in Europe: Lessons learnt for the long way ahead, </w:t>
      </w:r>
      <w:r w:rsidRPr="00867755">
        <w:rPr>
          <w:rFonts w:ascii="Times New Roman" w:hAnsi="Times New Roman" w:cs="Times New Roman"/>
          <w:b/>
          <w:sz w:val="24"/>
          <w:szCs w:val="24"/>
          <w:lang w:val="en-US"/>
        </w:rPr>
        <w:t>Renewable and Sustainable Energy Review</w:t>
      </w:r>
      <w:r w:rsidRPr="006E1386">
        <w:rPr>
          <w:rFonts w:ascii="Times New Roman" w:hAnsi="Times New Roman" w:cs="Times New Roman"/>
          <w:sz w:val="24"/>
          <w:szCs w:val="24"/>
          <w:lang w:val="en-US"/>
        </w:rPr>
        <w:t>, nº 13, 2008.</w:t>
      </w:r>
    </w:p>
    <w:p w:rsidR="000436A2" w:rsidRDefault="000436A2" w:rsidP="000436A2">
      <w:pPr>
        <w:rPr>
          <w:rFonts w:ascii="Times New Roman" w:hAnsi="Times New Roman" w:cs="Times New Roman"/>
          <w:sz w:val="24"/>
          <w:szCs w:val="24"/>
          <w:lang w:val="en-US"/>
        </w:rPr>
      </w:pPr>
    </w:p>
    <w:p w:rsidR="000436A2" w:rsidRPr="00B570F9" w:rsidRDefault="000436A2" w:rsidP="000436A2">
      <w:pPr>
        <w:rPr>
          <w:lang w:val="en-US"/>
        </w:rPr>
      </w:pPr>
    </w:p>
    <w:p w:rsidR="00C6573C" w:rsidRPr="000436A2" w:rsidRDefault="00C6573C" w:rsidP="00C6573C">
      <w:pPr>
        <w:spacing w:line="360" w:lineRule="auto"/>
        <w:ind w:firstLine="708"/>
        <w:rPr>
          <w:rFonts w:ascii="Times New Roman" w:hAnsi="Times New Roman" w:cs="Times New Roman"/>
          <w:sz w:val="24"/>
          <w:szCs w:val="24"/>
          <w:lang w:val="en-US"/>
        </w:rPr>
      </w:pPr>
    </w:p>
    <w:p w:rsidR="00C6573C" w:rsidRPr="000436A2" w:rsidRDefault="00C6573C" w:rsidP="00C6573C">
      <w:pPr>
        <w:rPr>
          <w:lang w:val="en-US"/>
        </w:rPr>
      </w:pPr>
    </w:p>
    <w:p w:rsidR="000F4842" w:rsidRPr="000436A2" w:rsidRDefault="000F4842" w:rsidP="00516892">
      <w:pPr>
        <w:spacing w:line="360" w:lineRule="auto"/>
        <w:ind w:firstLine="708"/>
        <w:rPr>
          <w:rFonts w:ascii="Times New Roman" w:hAnsi="Times New Roman" w:cs="Times New Roman"/>
          <w:sz w:val="24"/>
          <w:szCs w:val="24"/>
          <w:lang w:val="en-US"/>
        </w:rPr>
      </w:pPr>
    </w:p>
    <w:sectPr w:rsidR="000F4842" w:rsidRPr="000436A2" w:rsidSect="00D043B3">
      <w:headerReference w:type="default" r:id="rId57"/>
      <w:pgSz w:w="11906" w:h="16838"/>
      <w:pgMar w:top="1701" w:right="1134" w:bottom="1134" w:left="1701" w:header="708" w:footer="709"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1C2" w:rsidRDefault="00B951C2" w:rsidP="004A229A">
      <w:r>
        <w:separator/>
      </w:r>
    </w:p>
  </w:endnote>
  <w:endnote w:type="continuationSeparator" w:id="0">
    <w:p w:rsidR="00B951C2" w:rsidRDefault="00B951C2" w:rsidP="004A229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1C2" w:rsidRDefault="00B951C2" w:rsidP="004A229A">
      <w:r>
        <w:separator/>
      </w:r>
    </w:p>
  </w:footnote>
  <w:footnote w:type="continuationSeparator" w:id="0">
    <w:p w:rsidR="00B951C2" w:rsidRDefault="00B951C2" w:rsidP="004A229A">
      <w:r>
        <w:continuationSeparator/>
      </w:r>
    </w:p>
  </w:footnote>
  <w:footnote w:id="1">
    <w:p w:rsidR="00A57446" w:rsidRPr="00F67518" w:rsidRDefault="00A57446">
      <w:pPr>
        <w:pStyle w:val="Textodenotaderodap"/>
        <w:rPr>
          <w:rFonts w:ascii="Times New Roman" w:hAnsi="Times New Roman" w:cs="Times New Roman"/>
        </w:rPr>
      </w:pPr>
      <w:r w:rsidRPr="00F67518">
        <w:rPr>
          <w:rStyle w:val="Refdenotaderodap"/>
          <w:rFonts w:ascii="Times New Roman" w:hAnsi="Times New Roman" w:cs="Times New Roman"/>
        </w:rPr>
        <w:footnoteRef/>
      </w:r>
      <w:r w:rsidRPr="00F67518">
        <w:rPr>
          <w:rFonts w:ascii="Times New Roman" w:hAnsi="Times New Roman" w:cs="Times New Roman"/>
        </w:rPr>
        <w:t xml:space="preserve"> Gilb</w:t>
      </w:r>
      <w:r>
        <w:rPr>
          <w:rFonts w:ascii="Times New Roman" w:hAnsi="Times New Roman" w:cs="Times New Roman"/>
        </w:rPr>
        <w:t>erto Freyre, por exemplo, sempre</w:t>
      </w:r>
      <w:r w:rsidRPr="00F67518">
        <w:rPr>
          <w:rFonts w:ascii="Times New Roman" w:hAnsi="Times New Roman" w:cs="Times New Roman"/>
        </w:rPr>
        <w:t xml:space="preserve"> destacou </w:t>
      </w:r>
      <w:r>
        <w:rPr>
          <w:rFonts w:ascii="Times New Roman" w:hAnsi="Times New Roman" w:cs="Times New Roman"/>
        </w:rPr>
        <w:t>os impactos ambientais e as condições degradantes de trabalho</w:t>
      </w:r>
      <w:r w:rsidRPr="00F67518">
        <w:rPr>
          <w:rFonts w:ascii="Times New Roman" w:hAnsi="Times New Roman" w:cs="Times New Roman"/>
        </w:rPr>
        <w:t xml:space="preserve"> que a monocultura canavieira car</w:t>
      </w:r>
      <w:r>
        <w:rPr>
          <w:rFonts w:ascii="Times New Roman" w:hAnsi="Times New Roman" w:cs="Times New Roman"/>
        </w:rPr>
        <w:t>regou consigo desde o regime escravista.</w:t>
      </w:r>
    </w:p>
  </w:footnote>
  <w:footnote w:id="2">
    <w:p w:rsidR="00A57446" w:rsidRPr="001E409D" w:rsidRDefault="00A57446">
      <w:pPr>
        <w:pStyle w:val="Textodenotaderodap"/>
        <w:rPr>
          <w:rFonts w:ascii="Times New Roman" w:hAnsi="Times New Roman" w:cs="Times New Roman"/>
        </w:rPr>
      </w:pPr>
      <w:r w:rsidRPr="001E409D">
        <w:rPr>
          <w:rStyle w:val="Refdenotaderodap"/>
          <w:rFonts w:ascii="Times New Roman" w:hAnsi="Times New Roman" w:cs="Times New Roman"/>
        </w:rPr>
        <w:footnoteRef/>
      </w:r>
      <w:r>
        <w:rPr>
          <w:rFonts w:ascii="Times New Roman" w:hAnsi="Times New Roman" w:cs="Times New Roman"/>
        </w:rPr>
        <w:t xml:space="preserve"> Relação entre a energia contida</w:t>
      </w:r>
      <w:r w:rsidRPr="001E409D">
        <w:rPr>
          <w:rFonts w:ascii="Times New Roman" w:hAnsi="Times New Roman" w:cs="Times New Roman"/>
        </w:rPr>
        <w:t xml:space="preserve"> </w:t>
      </w:r>
      <w:r>
        <w:rPr>
          <w:rFonts w:ascii="Times New Roman" w:hAnsi="Times New Roman" w:cs="Times New Roman"/>
        </w:rPr>
        <w:t>n</w:t>
      </w:r>
      <w:r w:rsidRPr="001E409D">
        <w:rPr>
          <w:rFonts w:ascii="Times New Roman" w:hAnsi="Times New Roman" w:cs="Times New Roman"/>
        </w:rPr>
        <w:t>os biocombustíveis</w:t>
      </w:r>
      <w:r>
        <w:rPr>
          <w:rFonts w:ascii="Times New Roman" w:hAnsi="Times New Roman" w:cs="Times New Roman"/>
        </w:rPr>
        <w:t xml:space="preserve"> e a energia gasta para produzi-los</w:t>
      </w:r>
      <w:r w:rsidRPr="001E409D">
        <w:rPr>
          <w:rFonts w:ascii="Times New Roman" w:hAnsi="Times New Roman" w:cs="Times New Roman"/>
        </w:rPr>
        <w:t>.</w:t>
      </w:r>
    </w:p>
  </w:footnote>
  <w:footnote w:id="3">
    <w:p w:rsidR="00A57446" w:rsidRPr="002D402B" w:rsidRDefault="00A57446">
      <w:pPr>
        <w:pStyle w:val="Textodenotaderodap"/>
        <w:rPr>
          <w:rFonts w:ascii="Times New Roman" w:hAnsi="Times New Roman" w:cs="Times New Roman"/>
        </w:rPr>
      </w:pPr>
      <w:r w:rsidRPr="00417226">
        <w:rPr>
          <w:rStyle w:val="Refdenotaderodap"/>
          <w:rFonts w:ascii="Times New Roman" w:hAnsi="Times New Roman" w:cs="Times New Roman"/>
        </w:rPr>
        <w:footnoteRef/>
      </w:r>
      <w:r w:rsidRPr="00417226">
        <w:rPr>
          <w:rFonts w:ascii="Times New Roman" w:hAnsi="Times New Roman" w:cs="Times New Roman"/>
        </w:rPr>
        <w:t xml:space="preserve"> Entre os principais autores que compartilham a ideia de que o interesse público é apenas um conceito de ficção utilizado por diversos agentes, que buscam interesses particulares, para moldar políticas públicas estão George Stigler, Richard Posner, James Buchanan e Gordon Tullock. Stigler (1971)</w:t>
      </w:r>
      <w:r>
        <w:rPr>
          <w:rFonts w:ascii="Times New Roman" w:hAnsi="Times New Roman" w:cs="Times New Roman"/>
        </w:rPr>
        <w:t>, por exemplo,</w:t>
      </w:r>
      <w:r w:rsidRPr="00417226">
        <w:rPr>
          <w:rFonts w:ascii="Times New Roman" w:hAnsi="Times New Roman" w:cs="Times New Roman"/>
        </w:rPr>
        <w:t xml:space="preserve"> inaugurou a tese de</w:t>
      </w:r>
      <w:r>
        <w:rPr>
          <w:rFonts w:ascii="Times New Roman" w:hAnsi="Times New Roman" w:cs="Times New Roman"/>
        </w:rPr>
        <w:t xml:space="preserve"> que a regulação é capturada</w:t>
      </w:r>
      <w:r w:rsidRPr="00417226">
        <w:rPr>
          <w:rFonts w:ascii="Times New Roman" w:hAnsi="Times New Roman" w:cs="Times New Roman"/>
        </w:rPr>
        <w:t xml:space="preserve"> pela indústria regulada e é desenhada e operada primariamente para seu benefício.</w:t>
      </w:r>
    </w:p>
  </w:footnote>
  <w:footnote w:id="4">
    <w:p w:rsidR="00A57446" w:rsidRPr="00694F6D" w:rsidRDefault="00A57446">
      <w:pPr>
        <w:pStyle w:val="Textodenotaderodap"/>
        <w:rPr>
          <w:rFonts w:ascii="Times New Roman" w:hAnsi="Times New Roman" w:cs="Times New Roman"/>
        </w:rPr>
      </w:pPr>
      <w:r w:rsidRPr="00694F6D">
        <w:rPr>
          <w:rStyle w:val="Refdenotaderodap"/>
          <w:rFonts w:ascii="Times New Roman" w:hAnsi="Times New Roman" w:cs="Times New Roman"/>
        </w:rPr>
        <w:footnoteRef/>
      </w:r>
      <w:r w:rsidRPr="00694F6D">
        <w:rPr>
          <w:rFonts w:ascii="Times New Roman" w:hAnsi="Times New Roman" w:cs="Times New Roman"/>
        </w:rPr>
        <w:t xml:space="preserve"> O título do livro </w:t>
      </w:r>
      <w:r w:rsidRPr="00694F6D">
        <w:rPr>
          <w:rFonts w:ascii="Times New Roman" w:hAnsi="Times New Roman" w:cs="Times New Roman"/>
          <w:i/>
        </w:rPr>
        <w:t>Embedded Authonomy</w:t>
      </w:r>
      <w:r w:rsidRPr="00694F6D">
        <w:rPr>
          <w:rFonts w:ascii="Times New Roman" w:hAnsi="Times New Roman" w:cs="Times New Roman"/>
        </w:rPr>
        <w:t xml:space="preserve"> foi traduzido para o português como </w:t>
      </w:r>
      <w:r>
        <w:rPr>
          <w:rFonts w:ascii="Times New Roman" w:hAnsi="Times New Roman" w:cs="Times New Roman"/>
        </w:rPr>
        <w:t>“</w:t>
      </w:r>
      <w:r w:rsidRPr="00694F6D">
        <w:rPr>
          <w:rFonts w:ascii="Times New Roman" w:hAnsi="Times New Roman" w:cs="Times New Roman"/>
        </w:rPr>
        <w:t>Autonomia e Parceria</w:t>
      </w:r>
      <w:r>
        <w:rPr>
          <w:rFonts w:ascii="Times New Roman" w:hAnsi="Times New Roman" w:cs="Times New Roman"/>
        </w:rPr>
        <w:t>”</w:t>
      </w:r>
      <w:r w:rsidRPr="00694F6D">
        <w:rPr>
          <w:rFonts w:ascii="Times New Roman" w:hAnsi="Times New Roman" w:cs="Times New Roman"/>
        </w:rPr>
        <w:t>.</w:t>
      </w:r>
    </w:p>
  </w:footnote>
  <w:footnote w:id="5">
    <w:p w:rsidR="00A57446" w:rsidRPr="00CB7C6B" w:rsidRDefault="00A57446">
      <w:pPr>
        <w:pStyle w:val="Textodenotaderodap"/>
        <w:rPr>
          <w:rFonts w:ascii="Times New Roman" w:hAnsi="Times New Roman" w:cs="Times New Roman"/>
          <w:lang w:val="pt-PT"/>
        </w:rPr>
      </w:pPr>
      <w:r w:rsidRPr="00CB7C6B">
        <w:rPr>
          <w:rStyle w:val="Refdenotaderodap"/>
          <w:rFonts w:ascii="Times New Roman" w:hAnsi="Times New Roman" w:cs="Times New Roman"/>
        </w:rPr>
        <w:footnoteRef/>
      </w:r>
      <w:r w:rsidRPr="00CB7C6B">
        <w:rPr>
          <w:rFonts w:ascii="Times New Roman" w:hAnsi="Times New Roman" w:cs="Times New Roman"/>
        </w:rPr>
        <w:t xml:space="preserve"> Em linhas gerais, rotinas estão associadas ao padrão repetitivo dos procedimentos dentro das organizações ligadas à sua atividade contínua de produção, considerando a complexidade do ambiente em que atuam, podendo ser interpretadas como as características recorrentemente observadas no comportamento de uma organização, tornando-o previsível, ou </w:t>
      </w:r>
      <w:r>
        <w:rPr>
          <w:rFonts w:ascii="Times New Roman" w:hAnsi="Times New Roman" w:cs="Times New Roman"/>
        </w:rPr>
        <w:t xml:space="preserve">ainda </w:t>
      </w:r>
      <w:r w:rsidRPr="00CB7C6B">
        <w:rPr>
          <w:rFonts w:ascii="Times New Roman" w:hAnsi="Times New Roman" w:cs="Times New Roman"/>
        </w:rPr>
        <w:t>como os “genes” da organização na analogia</w:t>
      </w:r>
      <w:r>
        <w:rPr>
          <w:rFonts w:ascii="Times New Roman" w:hAnsi="Times New Roman" w:cs="Times New Roman"/>
        </w:rPr>
        <w:t xml:space="preserve"> com a teoria evolucionária da B</w:t>
      </w:r>
      <w:r w:rsidRPr="00CB7C6B">
        <w:rPr>
          <w:rFonts w:ascii="Times New Roman" w:hAnsi="Times New Roman" w:cs="Times New Roman"/>
        </w:rPr>
        <w:t>iologia. O conceito de rotina organizacional é fundamental para a adequada compreensão da teoria econômica evolucionária. Para uma apresentação detalhada deste con</w:t>
      </w:r>
      <w:r>
        <w:rPr>
          <w:rFonts w:ascii="Times New Roman" w:hAnsi="Times New Roman" w:cs="Times New Roman"/>
        </w:rPr>
        <w:t>ceito, ver Nelson e Winter (1982)</w:t>
      </w:r>
      <w:r w:rsidRPr="00CB7C6B">
        <w:rPr>
          <w:rFonts w:ascii="Times New Roman" w:hAnsi="Times New Roman" w:cs="Times New Roman"/>
        </w:rPr>
        <w:t>.</w:t>
      </w:r>
    </w:p>
  </w:footnote>
  <w:footnote w:id="6">
    <w:p w:rsidR="00A57446" w:rsidRPr="008D0613" w:rsidRDefault="00A57446" w:rsidP="00275052">
      <w:pPr>
        <w:pStyle w:val="Textodenotaderodap"/>
        <w:rPr>
          <w:rFonts w:ascii="Times New Roman" w:hAnsi="Times New Roman" w:cs="Times New Roman"/>
          <w:lang w:val="pt-PT"/>
        </w:rPr>
      </w:pPr>
      <w:r w:rsidRPr="008D0613">
        <w:rPr>
          <w:rStyle w:val="Refdenotaderodap"/>
          <w:rFonts w:ascii="Times New Roman" w:hAnsi="Times New Roman" w:cs="Times New Roman"/>
        </w:rPr>
        <w:footnoteRef/>
      </w:r>
      <w:r>
        <w:rPr>
          <w:rFonts w:ascii="Times New Roman" w:hAnsi="Times New Roman" w:cs="Times New Roman"/>
        </w:rPr>
        <w:t xml:space="preserve"> Pavitt buscou</w:t>
      </w:r>
      <w:r w:rsidRPr="008D0613">
        <w:rPr>
          <w:rFonts w:ascii="Times New Roman" w:hAnsi="Times New Roman" w:cs="Times New Roman"/>
        </w:rPr>
        <w:t xml:space="preserve"> identificar padrões nas trajetórias de acumulação tecnológica e associá-los a diferentes modos de manutenção das bases de competitividade internacional. Para tanto</w:t>
      </w:r>
      <w:r>
        <w:rPr>
          <w:rFonts w:ascii="Times New Roman" w:hAnsi="Times New Roman" w:cs="Times New Roman"/>
        </w:rPr>
        <w:t>, sugeriu</w:t>
      </w:r>
      <w:r w:rsidRPr="008D0613">
        <w:rPr>
          <w:rFonts w:ascii="Times New Roman" w:hAnsi="Times New Roman" w:cs="Times New Roman"/>
        </w:rPr>
        <w:t xml:space="preserve"> a classificação das firmas estudadas em diversos setores e países em quatro categorias: i) dominadas por fornecedores, ii) intensivas em escala, iii) intensivas em informação, iv) baseadas em ciência, e v) fornecedoras especializadas.</w:t>
      </w:r>
    </w:p>
  </w:footnote>
  <w:footnote w:id="7">
    <w:p w:rsidR="00A57446" w:rsidRPr="00781E79" w:rsidRDefault="00A57446" w:rsidP="00275052">
      <w:pPr>
        <w:pStyle w:val="Textodenotaderodap"/>
        <w:rPr>
          <w:rFonts w:ascii="Times New Roman" w:hAnsi="Times New Roman" w:cs="Times New Roman"/>
          <w:lang w:val="pt-PT"/>
        </w:rPr>
      </w:pPr>
      <w:r w:rsidRPr="00781E79">
        <w:rPr>
          <w:rStyle w:val="Refdenotaderodap"/>
          <w:rFonts w:ascii="Times New Roman" w:hAnsi="Times New Roman" w:cs="Times New Roman"/>
        </w:rPr>
        <w:footnoteRef/>
      </w:r>
      <w:r w:rsidRPr="00781E79">
        <w:rPr>
          <w:rFonts w:ascii="Times New Roman" w:hAnsi="Times New Roman" w:cs="Times New Roman"/>
        </w:rPr>
        <w:t xml:space="preserve"> </w:t>
      </w:r>
      <w:r w:rsidRPr="00781E79">
        <w:rPr>
          <w:rFonts w:ascii="Times New Roman" w:hAnsi="Times New Roman" w:cs="Times New Roman"/>
          <w:lang w:val="pt-PT"/>
        </w:rPr>
        <w:t>Levinthal também faz um paralelo com a biologia evolucionária e traz termos usuais desse campo científico para explicar o processo de transformação industrial. E</w:t>
      </w:r>
      <w:r>
        <w:rPr>
          <w:rFonts w:ascii="Times New Roman" w:hAnsi="Times New Roman" w:cs="Times New Roman"/>
          <w:lang w:val="pt-PT"/>
        </w:rPr>
        <w:t>m linhas gerais, e</w:t>
      </w:r>
      <w:r w:rsidRPr="00781E79">
        <w:rPr>
          <w:rFonts w:ascii="Times New Roman" w:hAnsi="Times New Roman" w:cs="Times New Roman"/>
          <w:lang w:val="pt-PT"/>
        </w:rPr>
        <w:t xml:space="preserve">speciação </w:t>
      </w:r>
      <w:r>
        <w:rPr>
          <w:rFonts w:ascii="Times New Roman" w:hAnsi="Times New Roman" w:cs="Times New Roman"/>
          <w:lang w:val="pt-PT"/>
        </w:rPr>
        <w:t>se refere ao</w:t>
      </w:r>
      <w:r w:rsidRPr="00781E79">
        <w:rPr>
          <w:rFonts w:ascii="Times New Roman" w:hAnsi="Times New Roman" w:cs="Times New Roman"/>
          <w:lang w:val="pt-PT"/>
        </w:rPr>
        <w:t xml:space="preserve"> processo</w:t>
      </w:r>
      <w:r>
        <w:rPr>
          <w:rFonts w:ascii="Times New Roman" w:hAnsi="Times New Roman" w:cs="Times New Roman"/>
          <w:lang w:val="pt-PT"/>
        </w:rPr>
        <w:t xml:space="preserve"> que dá origem a novas espécies. Trata-se de uma analogia com o surgimento de novas tecnologias.</w:t>
      </w:r>
    </w:p>
  </w:footnote>
  <w:footnote w:id="8">
    <w:p w:rsidR="00A57446" w:rsidRPr="00804870" w:rsidRDefault="00A57446" w:rsidP="00C6573C">
      <w:pPr>
        <w:pStyle w:val="Textodenotaderodap"/>
        <w:rPr>
          <w:rFonts w:ascii="Times New Roman" w:hAnsi="Times New Roman" w:cs="Times New Roman"/>
        </w:rPr>
      </w:pPr>
      <w:r w:rsidRPr="00804870">
        <w:rPr>
          <w:rStyle w:val="Refdenotaderodap"/>
          <w:rFonts w:ascii="Times New Roman" w:hAnsi="Times New Roman" w:cs="Times New Roman"/>
        </w:rPr>
        <w:footnoteRef/>
      </w:r>
      <w:r>
        <w:rPr>
          <w:rFonts w:ascii="Times New Roman" w:hAnsi="Times New Roman" w:cs="Times New Roman"/>
        </w:rPr>
        <w:t xml:space="preserve"> Ver Quadro</w:t>
      </w:r>
      <w:r w:rsidRPr="00804870">
        <w:rPr>
          <w:rFonts w:ascii="Times New Roman" w:hAnsi="Times New Roman" w:cs="Times New Roman"/>
        </w:rPr>
        <w:t xml:space="preserve"> 1</w:t>
      </w:r>
      <w:r>
        <w:rPr>
          <w:rFonts w:ascii="Times New Roman" w:hAnsi="Times New Roman" w:cs="Times New Roman"/>
        </w:rPr>
        <w:t xml:space="preserve"> (</w:t>
      </w:r>
      <w:r w:rsidRPr="00995B01">
        <w:rPr>
          <w:rFonts w:ascii="Times New Roman" w:hAnsi="Times New Roman" w:cs="Times New Roman"/>
        </w:rPr>
        <w:t>pág. 41</w:t>
      </w:r>
      <w:r>
        <w:rPr>
          <w:rFonts w:ascii="Times New Roman" w:hAnsi="Times New Roman" w:cs="Times New Roman"/>
        </w:rPr>
        <w:t>)</w:t>
      </w:r>
      <w:r w:rsidRPr="00804870">
        <w:rPr>
          <w:rFonts w:ascii="Times New Roman" w:hAnsi="Times New Roman" w:cs="Times New Roman"/>
        </w:rPr>
        <w:t xml:space="preserve"> sobre a nomenclatura adotada para as categorias de biocombustíveis.</w:t>
      </w:r>
    </w:p>
  </w:footnote>
  <w:footnote w:id="9">
    <w:p w:rsidR="00A57446" w:rsidRPr="00C47986" w:rsidRDefault="00A57446">
      <w:pPr>
        <w:pStyle w:val="Textodenotaderodap"/>
        <w:rPr>
          <w:rFonts w:ascii="Times New Roman" w:hAnsi="Times New Roman" w:cs="Times New Roman"/>
        </w:rPr>
      </w:pPr>
      <w:r w:rsidRPr="00C47986">
        <w:rPr>
          <w:rStyle w:val="Refdenotaderodap"/>
          <w:rFonts w:ascii="Times New Roman" w:hAnsi="Times New Roman" w:cs="Times New Roman"/>
        </w:rPr>
        <w:footnoteRef/>
      </w:r>
      <w:r w:rsidRPr="00C47986">
        <w:rPr>
          <w:rFonts w:ascii="Times New Roman" w:hAnsi="Times New Roman" w:cs="Times New Roman"/>
        </w:rPr>
        <w:t xml:space="preserve"> O Programa será apresentado detalhadamente no capítulo 3.</w:t>
      </w:r>
    </w:p>
  </w:footnote>
  <w:footnote w:id="10">
    <w:p w:rsidR="00A57446" w:rsidRPr="00252684" w:rsidRDefault="00A57446" w:rsidP="00C6573C">
      <w:pPr>
        <w:pStyle w:val="Textodenotaderodap"/>
        <w:rPr>
          <w:rFonts w:ascii="Times New Roman" w:hAnsi="Times New Roman" w:cs="Times New Roman"/>
        </w:rPr>
      </w:pPr>
      <w:r w:rsidRPr="00252684">
        <w:rPr>
          <w:rStyle w:val="Refdenotaderodap"/>
          <w:rFonts w:ascii="Times New Roman" w:hAnsi="Times New Roman" w:cs="Times New Roman"/>
        </w:rPr>
        <w:footnoteRef/>
      </w:r>
      <w:r w:rsidRPr="00252684">
        <w:rPr>
          <w:rFonts w:ascii="Times New Roman" w:hAnsi="Times New Roman" w:cs="Times New Roman"/>
        </w:rPr>
        <w:t xml:space="preserve"> Em evento ocorrido em março de 2012, o gerente de gestão tecnológica da Petrobras Biocombustível afirmou que esse custo é de US$ 0,57/litro</w:t>
      </w:r>
      <w:r>
        <w:rPr>
          <w:rFonts w:ascii="Times New Roman" w:hAnsi="Times New Roman" w:cs="Times New Roman"/>
        </w:rPr>
        <w:t xml:space="preserve"> </w:t>
      </w:r>
      <w:r w:rsidRPr="00252684">
        <w:rPr>
          <w:rFonts w:ascii="Times New Roman" w:hAnsi="Times New Roman" w:cs="Times New Roman"/>
        </w:rPr>
        <w:t>(</w:t>
      </w:r>
      <w:hyperlink r:id="rId1" w:history="1">
        <w:r w:rsidRPr="00252684">
          <w:rPr>
            <w:rStyle w:val="Hyperlink"/>
            <w:rFonts w:ascii="Times New Roman" w:hAnsi="Times New Roman" w:cs="Times New Roman"/>
          </w:rPr>
          <w:t>http://www.advivo.com.br/blog/roberto-sao-paulo-sp-2012/custo-da-producao-de-etanol-de-segunda-geracao</w:t>
        </w:r>
      </w:hyperlink>
      <w:r w:rsidRPr="00252684">
        <w:rPr>
          <w:rFonts w:ascii="Times New Roman" w:hAnsi="Times New Roman" w:cs="Times New Roman"/>
        </w:rPr>
        <w:t xml:space="preserve">). </w:t>
      </w:r>
      <w:r>
        <w:rPr>
          <w:rFonts w:ascii="Times New Roman" w:hAnsi="Times New Roman" w:cs="Times New Roman"/>
        </w:rPr>
        <w:t xml:space="preserve">Apesar de não haver </w:t>
      </w:r>
      <w:r w:rsidRPr="00252684">
        <w:rPr>
          <w:rFonts w:ascii="Times New Roman" w:hAnsi="Times New Roman" w:cs="Times New Roman"/>
        </w:rPr>
        <w:t xml:space="preserve">consenso sobre </w:t>
      </w:r>
      <w:r>
        <w:rPr>
          <w:rFonts w:ascii="Times New Roman" w:hAnsi="Times New Roman" w:cs="Times New Roman"/>
        </w:rPr>
        <w:t xml:space="preserve">as causas desse aumento, podem ser citadas </w:t>
      </w:r>
      <w:r w:rsidRPr="00252684">
        <w:rPr>
          <w:rFonts w:ascii="Times New Roman" w:hAnsi="Times New Roman" w:cs="Times New Roman"/>
        </w:rPr>
        <w:t>a baixa taxa de renovação dos canaviais, relativa estagnação nos ganho</w:t>
      </w:r>
      <w:r>
        <w:rPr>
          <w:rFonts w:ascii="Times New Roman" w:hAnsi="Times New Roman" w:cs="Times New Roman"/>
        </w:rPr>
        <w:t>s de produtividade agrícola e industrial e necessidade de adaptar algumas práticas agrícolas às áreas incorporadas à produção de cana-de-açúcar mais recentemente. Milanez et al. (2012), por sua vez, reportam custo de produção em torno de R$ 0,90/litro, durante 2011.</w:t>
      </w:r>
    </w:p>
  </w:footnote>
  <w:footnote w:id="11">
    <w:p w:rsidR="00A57446" w:rsidRPr="00661241" w:rsidRDefault="00A57446" w:rsidP="00C6573C">
      <w:pPr>
        <w:pStyle w:val="Textodenotaderodap"/>
        <w:rPr>
          <w:rFonts w:ascii="Times New Roman" w:hAnsi="Times New Roman" w:cs="Times New Roman"/>
        </w:rPr>
      </w:pPr>
      <w:r w:rsidRPr="00661241">
        <w:rPr>
          <w:rStyle w:val="Refdenotaderodap"/>
          <w:rFonts w:ascii="Times New Roman" w:hAnsi="Times New Roman" w:cs="Times New Roman"/>
        </w:rPr>
        <w:footnoteRef/>
      </w:r>
      <w:r>
        <w:rPr>
          <w:rFonts w:ascii="Times New Roman" w:hAnsi="Times New Roman" w:cs="Times New Roman"/>
        </w:rPr>
        <w:t xml:space="preserve"> Co</w:t>
      </w:r>
      <w:r w:rsidRPr="00661241">
        <w:rPr>
          <w:rFonts w:ascii="Times New Roman" w:hAnsi="Times New Roman" w:cs="Times New Roman"/>
        </w:rPr>
        <w:t>g</w:t>
      </w:r>
      <w:r>
        <w:rPr>
          <w:rFonts w:ascii="Times New Roman" w:hAnsi="Times New Roman" w:cs="Times New Roman"/>
        </w:rPr>
        <w:t>eração é o processo pelo qual são</w:t>
      </w:r>
      <w:r w:rsidRPr="00661241">
        <w:rPr>
          <w:rFonts w:ascii="Times New Roman" w:hAnsi="Times New Roman" w:cs="Times New Roman"/>
        </w:rPr>
        <w:t xml:space="preserve"> produz</w:t>
      </w:r>
      <w:r>
        <w:rPr>
          <w:rFonts w:ascii="Times New Roman" w:hAnsi="Times New Roman" w:cs="Times New Roman"/>
        </w:rPr>
        <w:t>idas</w:t>
      </w:r>
      <w:r w:rsidRPr="00661241">
        <w:rPr>
          <w:rFonts w:ascii="Times New Roman" w:hAnsi="Times New Roman" w:cs="Times New Roman"/>
        </w:rPr>
        <w:t xml:space="preserve"> duas formas distintas de energia</w:t>
      </w:r>
      <w:r>
        <w:rPr>
          <w:rFonts w:ascii="Times New Roman" w:hAnsi="Times New Roman" w:cs="Times New Roman"/>
        </w:rPr>
        <w:t>, próximo ao centro de carga,</w:t>
      </w:r>
      <w:r w:rsidRPr="00661241">
        <w:rPr>
          <w:rFonts w:ascii="Times New Roman" w:hAnsi="Times New Roman" w:cs="Times New Roman"/>
        </w:rPr>
        <w:t xml:space="preserve"> a partir de um mesmo combustível (CASTRO; DANTAS, 2008). No setor sucr</w:t>
      </w:r>
      <w:r>
        <w:rPr>
          <w:rFonts w:ascii="Times New Roman" w:hAnsi="Times New Roman" w:cs="Times New Roman"/>
        </w:rPr>
        <w:t>oalcooleiro, essas formas se referem a</w:t>
      </w:r>
      <w:r w:rsidRPr="00661241">
        <w:rPr>
          <w:rFonts w:ascii="Times New Roman" w:hAnsi="Times New Roman" w:cs="Times New Roman"/>
        </w:rPr>
        <w:t xml:space="preserve"> eletricidade e energia térmic</w:t>
      </w:r>
      <w:r>
        <w:rPr>
          <w:rFonts w:ascii="Times New Roman" w:hAnsi="Times New Roman" w:cs="Times New Roman"/>
        </w:rPr>
        <w:t>a e o bagaço da cana-de-açúcar é o combustível.</w:t>
      </w:r>
    </w:p>
  </w:footnote>
  <w:footnote w:id="12">
    <w:p w:rsidR="00A57446" w:rsidRPr="00906EBA" w:rsidRDefault="00A57446" w:rsidP="00C6573C">
      <w:pPr>
        <w:pStyle w:val="Textodenotaderodap"/>
        <w:rPr>
          <w:rFonts w:ascii="Times New Roman" w:hAnsi="Times New Roman" w:cs="Times New Roman"/>
          <w:lang w:val="pt-PT"/>
        </w:rPr>
      </w:pPr>
      <w:r w:rsidRPr="00906EBA">
        <w:rPr>
          <w:rStyle w:val="Refdenotaderodap"/>
          <w:rFonts w:ascii="Times New Roman" w:hAnsi="Times New Roman" w:cs="Times New Roman"/>
        </w:rPr>
        <w:footnoteRef/>
      </w:r>
      <w:r w:rsidRPr="00906EBA">
        <w:rPr>
          <w:rFonts w:ascii="Times New Roman" w:hAnsi="Times New Roman" w:cs="Times New Roman"/>
        </w:rPr>
        <w:t xml:space="preserve"> </w:t>
      </w:r>
      <w:r w:rsidRPr="00906EBA">
        <w:rPr>
          <w:rFonts w:ascii="Times New Roman" w:hAnsi="Times New Roman" w:cs="Times New Roman"/>
          <w:lang w:val="pt-PT"/>
        </w:rPr>
        <w:t>Em 2010, quase 97% da produção ocorreu por meio da rota metílica (ANP, 2011).</w:t>
      </w:r>
    </w:p>
  </w:footnote>
  <w:footnote w:id="13">
    <w:p w:rsidR="00A57446" w:rsidRPr="00906EBA" w:rsidRDefault="00A57446" w:rsidP="00C6573C">
      <w:pPr>
        <w:pStyle w:val="Textodenotaderodap"/>
        <w:rPr>
          <w:lang w:val="pt-PT"/>
        </w:rPr>
      </w:pPr>
      <w:r w:rsidRPr="00906EBA">
        <w:rPr>
          <w:rStyle w:val="Refdenotaderodap"/>
          <w:rFonts w:ascii="Times New Roman" w:hAnsi="Times New Roman" w:cs="Times New Roman"/>
        </w:rPr>
        <w:footnoteRef/>
      </w:r>
      <w:r w:rsidRPr="00906EBA">
        <w:rPr>
          <w:rFonts w:ascii="Times New Roman" w:hAnsi="Times New Roman" w:cs="Times New Roman"/>
        </w:rPr>
        <w:t xml:space="preserve"> </w:t>
      </w:r>
      <w:r w:rsidRPr="00A71A94">
        <w:rPr>
          <w:rFonts w:ascii="Times New Roman" w:hAnsi="Times New Roman" w:cs="Times New Roman"/>
          <w:i/>
          <w:lang w:val="pt-PT"/>
        </w:rPr>
        <w:t>Biodiesel: liderança na produção a partir de 2012</w:t>
      </w:r>
      <w:r>
        <w:rPr>
          <w:rFonts w:ascii="Times New Roman" w:hAnsi="Times New Roman" w:cs="Times New Roman"/>
          <w:lang w:val="pt-PT"/>
        </w:rPr>
        <w:t xml:space="preserve">. Notícia </w:t>
      </w:r>
      <w:r w:rsidRPr="00906EBA">
        <w:rPr>
          <w:rFonts w:ascii="Times New Roman" w:hAnsi="Times New Roman" w:cs="Times New Roman"/>
          <w:lang w:val="pt-PT"/>
        </w:rPr>
        <w:t xml:space="preserve">publicada no portal de notícias </w:t>
      </w:r>
      <w:r>
        <w:rPr>
          <w:rFonts w:ascii="Times New Roman" w:hAnsi="Times New Roman" w:cs="Times New Roman"/>
          <w:lang w:val="pt-PT"/>
        </w:rPr>
        <w:t>Agência Brasil</w:t>
      </w:r>
      <w:r w:rsidRPr="00906EBA">
        <w:rPr>
          <w:rFonts w:ascii="Times New Roman" w:hAnsi="Times New Roman" w:cs="Times New Roman"/>
          <w:lang w:val="pt-PT"/>
        </w:rPr>
        <w:t xml:space="preserve"> (</w:t>
      </w:r>
      <w:hyperlink r:id="rId2" w:history="1">
        <w:r w:rsidRPr="009F28AF">
          <w:rPr>
            <w:rStyle w:val="Hyperlink"/>
            <w:rFonts w:ascii="Times New Roman" w:hAnsi="Times New Roman" w:cs="Times New Roman"/>
            <w:lang w:val="pt-PT"/>
          </w:rPr>
          <w:t>www.agenciabrasil.ebc.com.br</w:t>
        </w:r>
      </w:hyperlink>
      <w:r>
        <w:rPr>
          <w:rFonts w:ascii="Times New Roman" w:hAnsi="Times New Roman" w:cs="Times New Roman"/>
          <w:lang w:val="pt-PT"/>
        </w:rPr>
        <w:t>) em 09</w:t>
      </w:r>
      <w:r w:rsidRPr="00906EBA">
        <w:rPr>
          <w:rFonts w:ascii="Times New Roman" w:hAnsi="Times New Roman" w:cs="Times New Roman"/>
          <w:lang w:val="pt-PT"/>
        </w:rPr>
        <w:t>/11/2011 com base em discurso de Miguel Rossetto, presidente da Petrobras Biocombustíve</w:t>
      </w:r>
      <w:r>
        <w:rPr>
          <w:rFonts w:ascii="Times New Roman" w:hAnsi="Times New Roman" w:cs="Times New Roman"/>
          <w:lang w:val="pt-PT"/>
        </w:rPr>
        <w:t>is</w:t>
      </w:r>
      <w:r w:rsidRPr="00906EBA">
        <w:rPr>
          <w:rFonts w:ascii="Times New Roman" w:hAnsi="Times New Roman" w:cs="Times New Roman"/>
          <w:lang w:val="pt-PT"/>
        </w:rPr>
        <w:t>.</w:t>
      </w:r>
    </w:p>
  </w:footnote>
  <w:footnote w:id="14">
    <w:p w:rsidR="00A57446" w:rsidRPr="009C450B" w:rsidRDefault="00A57446" w:rsidP="00C6573C">
      <w:pPr>
        <w:pStyle w:val="Textodenotaderodap"/>
      </w:pPr>
      <w:r w:rsidRPr="009C450B">
        <w:rPr>
          <w:rStyle w:val="Refdenotaderodap"/>
          <w:rFonts w:ascii="Times New Roman" w:hAnsi="Times New Roman" w:cs="Times New Roman"/>
        </w:rPr>
        <w:footnoteRef/>
      </w:r>
      <w:r w:rsidRPr="009C450B">
        <w:rPr>
          <w:rFonts w:ascii="Times New Roman" w:hAnsi="Times New Roman" w:cs="Times New Roman"/>
        </w:rPr>
        <w:t xml:space="preserve"> O alto custo de oportunidade dos óleos vegetais utilizados como matéria-prima já foi um problema para o cumprimento da legislação em relação à mistura obrigatória em 2008, quando os volumes entregues corresponderam a somente 30% do volume contratado nos leilões (MENDES; COSTA, 2010)</w:t>
      </w:r>
      <w:r>
        <w:t xml:space="preserve">. </w:t>
      </w:r>
    </w:p>
  </w:footnote>
  <w:footnote w:id="15">
    <w:p w:rsidR="00A57446" w:rsidRPr="00A71A94" w:rsidRDefault="00A57446" w:rsidP="00C6573C">
      <w:pPr>
        <w:pStyle w:val="Textodenotaderodap"/>
        <w:rPr>
          <w:rFonts w:ascii="Times New Roman" w:hAnsi="Times New Roman" w:cs="Times New Roman"/>
          <w:lang w:val="pt-PT"/>
        </w:rPr>
      </w:pPr>
      <w:r w:rsidRPr="00A71A94">
        <w:rPr>
          <w:rStyle w:val="Refdenotaderodap"/>
          <w:rFonts w:ascii="Times New Roman" w:hAnsi="Times New Roman" w:cs="Times New Roman"/>
        </w:rPr>
        <w:footnoteRef/>
      </w:r>
      <w:r w:rsidRPr="00A71A94">
        <w:rPr>
          <w:rFonts w:ascii="Times New Roman" w:hAnsi="Times New Roman" w:cs="Times New Roman"/>
        </w:rPr>
        <w:t xml:space="preserve"> </w:t>
      </w:r>
      <w:r w:rsidRPr="00A71A94">
        <w:rPr>
          <w:rFonts w:ascii="Times New Roman" w:hAnsi="Times New Roman" w:cs="Times New Roman"/>
          <w:i/>
          <w:lang w:val="pt-PT"/>
        </w:rPr>
        <w:t>Frente parlamentar em defesa do biodiesel será lançada hoje</w:t>
      </w:r>
      <w:r w:rsidRPr="00A71A94">
        <w:rPr>
          <w:rFonts w:ascii="Times New Roman" w:hAnsi="Times New Roman" w:cs="Times New Roman"/>
          <w:lang w:val="pt-PT"/>
        </w:rPr>
        <w:t>. Notícia publicada na página da Câmara dos Deputados (</w:t>
      </w:r>
      <w:hyperlink r:id="rId3" w:history="1">
        <w:r w:rsidRPr="00A71A94">
          <w:rPr>
            <w:rStyle w:val="Hyperlink"/>
            <w:rFonts w:ascii="Times New Roman" w:hAnsi="Times New Roman" w:cs="Times New Roman"/>
            <w:lang w:val="pt-PT"/>
          </w:rPr>
          <w:t>www.camara.gov.br</w:t>
        </w:r>
      </w:hyperlink>
      <w:r w:rsidRPr="00A71A94">
        <w:rPr>
          <w:rFonts w:ascii="Times New Roman" w:hAnsi="Times New Roman" w:cs="Times New Roman"/>
          <w:lang w:val="pt-PT"/>
        </w:rPr>
        <w:t>) em 19/10/2011.</w:t>
      </w:r>
    </w:p>
  </w:footnote>
  <w:footnote w:id="16">
    <w:p w:rsidR="00A57446" w:rsidRPr="00123088" w:rsidRDefault="00A57446" w:rsidP="00C6573C">
      <w:pPr>
        <w:pStyle w:val="Textodenotaderodap"/>
      </w:pPr>
      <w:r w:rsidRPr="00B559E4">
        <w:rPr>
          <w:rStyle w:val="Refdenotaderodap"/>
          <w:rFonts w:ascii="Times New Roman" w:hAnsi="Times New Roman" w:cs="Times New Roman"/>
        </w:rPr>
        <w:footnoteRef/>
      </w:r>
      <w:r w:rsidRPr="00B559E4">
        <w:rPr>
          <w:rFonts w:ascii="Times New Roman" w:hAnsi="Times New Roman" w:cs="Times New Roman"/>
        </w:rPr>
        <w:t xml:space="preserve"> As referências que causaram maior repercussão na controvérsia </w:t>
      </w:r>
      <w:r>
        <w:rPr>
          <w:rFonts w:ascii="Times New Roman" w:hAnsi="Times New Roman" w:cs="Times New Roman"/>
        </w:rPr>
        <w:t xml:space="preserve">em torno da </w:t>
      </w:r>
      <w:r w:rsidRPr="00B559E4">
        <w:rPr>
          <w:rFonts w:ascii="Times New Roman" w:hAnsi="Times New Roman" w:cs="Times New Roman"/>
          <w:i/>
        </w:rPr>
        <w:t>Indirect Land Use Change</w:t>
      </w:r>
      <w:r>
        <w:rPr>
          <w:rFonts w:ascii="Times New Roman" w:hAnsi="Times New Roman" w:cs="Times New Roman"/>
        </w:rPr>
        <w:t xml:space="preserve"> </w:t>
      </w:r>
      <w:r w:rsidRPr="00B559E4">
        <w:rPr>
          <w:rFonts w:ascii="Times New Roman" w:hAnsi="Times New Roman" w:cs="Times New Roman"/>
        </w:rPr>
        <w:t xml:space="preserve">foram Fargione et al. </w:t>
      </w:r>
      <w:r w:rsidRPr="00123088">
        <w:rPr>
          <w:rFonts w:ascii="Times New Roman" w:hAnsi="Times New Roman" w:cs="Times New Roman"/>
        </w:rPr>
        <w:t xml:space="preserve">(2008) e Searchinger et al. (2008), publicados na revista </w:t>
      </w:r>
      <w:r w:rsidRPr="00123088">
        <w:rPr>
          <w:rFonts w:ascii="Times New Roman" w:hAnsi="Times New Roman" w:cs="Times New Roman"/>
          <w:i/>
        </w:rPr>
        <w:t>Science.</w:t>
      </w:r>
    </w:p>
  </w:footnote>
  <w:footnote w:id="17">
    <w:p w:rsidR="00A57446" w:rsidRPr="00BC3130" w:rsidRDefault="00A57446" w:rsidP="00C6573C">
      <w:pPr>
        <w:jc w:val="left"/>
        <w:rPr>
          <w:rFonts w:ascii="Times New Roman" w:hAnsi="Times New Roman" w:cs="Times New Roman"/>
          <w:sz w:val="20"/>
          <w:szCs w:val="20"/>
          <w:lang w:val="pt-PT"/>
        </w:rPr>
      </w:pPr>
      <w:r w:rsidRPr="00BC3130">
        <w:rPr>
          <w:rStyle w:val="Refdenotaderodap"/>
          <w:rFonts w:ascii="Times New Roman" w:hAnsi="Times New Roman" w:cs="Times New Roman"/>
          <w:sz w:val="20"/>
          <w:szCs w:val="20"/>
        </w:rPr>
        <w:footnoteRef/>
      </w:r>
      <w:r w:rsidRPr="00BC3130">
        <w:rPr>
          <w:rFonts w:ascii="Times New Roman" w:hAnsi="Times New Roman" w:cs="Times New Roman"/>
          <w:sz w:val="20"/>
          <w:szCs w:val="20"/>
        </w:rPr>
        <w:t xml:space="preserve"> </w:t>
      </w:r>
      <w:r w:rsidRPr="00BC3130">
        <w:rPr>
          <w:rFonts w:ascii="Times New Roman" w:hAnsi="Times New Roman" w:cs="Times New Roman"/>
          <w:sz w:val="20"/>
          <w:szCs w:val="20"/>
          <w:lang w:val="pt-PT"/>
        </w:rPr>
        <w:t>Para detalhes dos programas adotados por estes e outros países, ve</w:t>
      </w:r>
      <w:r>
        <w:rPr>
          <w:rFonts w:ascii="Times New Roman" w:hAnsi="Times New Roman" w:cs="Times New Roman"/>
          <w:sz w:val="20"/>
          <w:szCs w:val="20"/>
          <w:lang w:val="pt-PT"/>
        </w:rPr>
        <w:t>ja-se</w:t>
      </w:r>
      <w:r w:rsidRPr="00BC3130">
        <w:rPr>
          <w:rFonts w:ascii="Times New Roman" w:hAnsi="Times New Roman" w:cs="Times New Roman"/>
          <w:sz w:val="20"/>
          <w:szCs w:val="20"/>
          <w:lang w:val="pt-PT"/>
        </w:rPr>
        <w:t xml:space="preserve"> </w:t>
      </w:r>
      <w:r>
        <w:rPr>
          <w:rFonts w:ascii="Times New Roman" w:hAnsi="Times New Roman" w:cs="Times New Roman"/>
          <w:sz w:val="20"/>
          <w:szCs w:val="20"/>
          <w:lang w:val="pt-PT"/>
        </w:rPr>
        <w:t xml:space="preserve">Sorda et al. (2010), Wiesenthal </w:t>
      </w:r>
      <w:r w:rsidRPr="00FA3458">
        <w:rPr>
          <w:rFonts w:ascii="Times New Roman" w:hAnsi="Times New Roman" w:cs="Times New Roman"/>
          <w:i/>
          <w:sz w:val="20"/>
          <w:szCs w:val="20"/>
          <w:lang w:val="pt-PT"/>
        </w:rPr>
        <w:t>et al.</w:t>
      </w:r>
      <w:r>
        <w:rPr>
          <w:rFonts w:ascii="Times New Roman" w:hAnsi="Times New Roman" w:cs="Times New Roman"/>
          <w:sz w:val="20"/>
          <w:szCs w:val="20"/>
          <w:lang w:val="pt-PT"/>
        </w:rPr>
        <w:t xml:space="preserve"> (2008) e Timilsina e Shrestha (2010).</w:t>
      </w:r>
    </w:p>
  </w:footnote>
  <w:footnote w:id="18">
    <w:p w:rsidR="00A57446" w:rsidRPr="00167A4E" w:rsidRDefault="00A57446" w:rsidP="00C6573C">
      <w:pPr>
        <w:pStyle w:val="Textodenotaderodap"/>
        <w:rPr>
          <w:rFonts w:ascii="Times New Roman" w:hAnsi="Times New Roman" w:cs="Times New Roman"/>
        </w:rPr>
      </w:pPr>
      <w:r w:rsidRPr="00167A4E">
        <w:rPr>
          <w:rStyle w:val="Refdenotaderodap"/>
          <w:rFonts w:ascii="Times New Roman" w:hAnsi="Times New Roman" w:cs="Times New Roman"/>
        </w:rPr>
        <w:footnoteRef/>
      </w:r>
      <w:r>
        <w:rPr>
          <w:rFonts w:ascii="Times New Roman" w:hAnsi="Times New Roman" w:cs="Times New Roman"/>
        </w:rPr>
        <w:t xml:space="preserve"> Adiante, será visto que já existem empresas produzindo</w:t>
      </w:r>
      <w:r w:rsidRPr="00167A4E">
        <w:rPr>
          <w:rFonts w:ascii="Times New Roman" w:hAnsi="Times New Roman" w:cs="Times New Roman"/>
        </w:rPr>
        <w:t xml:space="preserve"> biohidrocarbonetos a partir da fermentação de açúcares.</w:t>
      </w:r>
    </w:p>
  </w:footnote>
  <w:footnote w:id="19">
    <w:p w:rsidR="00A57446" w:rsidRPr="00756A9D" w:rsidRDefault="00A57446" w:rsidP="00C6573C">
      <w:pPr>
        <w:pStyle w:val="Textodenotaderodap"/>
        <w:rPr>
          <w:rFonts w:ascii="Times New Roman" w:hAnsi="Times New Roman" w:cs="Times New Roman"/>
        </w:rPr>
      </w:pPr>
      <w:r w:rsidRPr="000003E3">
        <w:rPr>
          <w:rStyle w:val="Refdenotaderodap"/>
          <w:rFonts w:ascii="Times New Roman" w:hAnsi="Times New Roman" w:cs="Times New Roman"/>
        </w:rPr>
        <w:footnoteRef/>
      </w:r>
      <w:r>
        <w:rPr>
          <w:rFonts w:ascii="Times New Roman" w:hAnsi="Times New Roman" w:cs="Times New Roman"/>
          <w:lang w:val="en-US"/>
        </w:rPr>
        <w:t xml:space="preserve"> CHRISTENSEN, C. The Innovator’s dilemma:</w:t>
      </w:r>
      <w:r w:rsidRPr="000003E3">
        <w:rPr>
          <w:rFonts w:ascii="Times New Roman" w:hAnsi="Times New Roman" w:cs="Times New Roman"/>
          <w:lang w:val="en-US"/>
        </w:rPr>
        <w:t xml:space="preserve"> When new technologies cause great </w:t>
      </w:r>
      <w:r w:rsidRPr="000003E3">
        <w:rPr>
          <w:rFonts w:ascii="Times New Roman" w:hAnsi="Times New Roman" w:cs="Times New Roman"/>
        </w:rPr>
        <w:t>ﬁ</w:t>
      </w:r>
      <w:r w:rsidRPr="000003E3">
        <w:rPr>
          <w:rFonts w:ascii="Times New Roman" w:hAnsi="Times New Roman" w:cs="Times New Roman"/>
          <w:lang w:val="en-US"/>
        </w:rPr>
        <w:t xml:space="preserve">rms to fail. </w:t>
      </w:r>
      <w:r w:rsidRPr="00756A9D">
        <w:rPr>
          <w:rFonts w:ascii="Times New Roman" w:hAnsi="Times New Roman" w:cs="Times New Roman"/>
        </w:rPr>
        <w:t>Boston, MA: Harvard Business School Press, 1997.</w:t>
      </w:r>
    </w:p>
  </w:footnote>
  <w:footnote w:id="20">
    <w:p w:rsidR="00A57446" w:rsidRPr="00D66E6D" w:rsidRDefault="00A57446" w:rsidP="00C6573C">
      <w:pPr>
        <w:pStyle w:val="Textodenotaderodap"/>
        <w:rPr>
          <w:rFonts w:ascii="Times New Roman" w:hAnsi="Times New Roman" w:cs="Times New Roman"/>
        </w:rPr>
      </w:pPr>
      <w:r w:rsidRPr="00D66E6D">
        <w:rPr>
          <w:rStyle w:val="Refdenotaderodap"/>
          <w:rFonts w:ascii="Times New Roman" w:hAnsi="Times New Roman" w:cs="Times New Roman"/>
        </w:rPr>
        <w:footnoteRef/>
      </w:r>
      <w:r w:rsidRPr="00D66E6D">
        <w:rPr>
          <w:rFonts w:ascii="Times New Roman" w:hAnsi="Times New Roman" w:cs="Times New Roman"/>
        </w:rPr>
        <w:t xml:space="preserve"> </w:t>
      </w:r>
      <w:r>
        <w:rPr>
          <w:rFonts w:ascii="Times New Roman" w:hAnsi="Times New Roman" w:cs="Times New Roman"/>
        </w:rPr>
        <w:t xml:space="preserve"> Informações adicionais do projeto </w:t>
      </w:r>
      <w:r w:rsidRPr="00F259F4">
        <w:rPr>
          <w:rFonts w:ascii="Times New Roman" w:hAnsi="Times New Roman" w:cs="Times New Roman"/>
          <w:i/>
        </w:rPr>
        <w:t>Sustainable Aviation Biofuels for Brazil</w:t>
      </w:r>
      <w:r>
        <w:rPr>
          <w:rFonts w:ascii="Times New Roman" w:hAnsi="Times New Roman" w:cs="Times New Roman"/>
        </w:rPr>
        <w:t xml:space="preserve"> estão disponíveis em </w:t>
      </w:r>
      <w:hyperlink r:id="rId4" w:history="1">
        <w:r w:rsidRPr="00F259F4">
          <w:rPr>
            <w:rStyle w:val="Hyperlink"/>
            <w:rFonts w:ascii="Times New Roman" w:hAnsi="Times New Roman" w:cs="Times New Roman"/>
          </w:rPr>
          <w:t>http://www.nipeunicamp.org.br/sabb/index.php?option=com_content&amp;view=frontpage&amp;Itemid=1</w:t>
        </w:r>
      </w:hyperlink>
      <w:r>
        <w:rPr>
          <w:rFonts w:ascii="Times New Roman" w:hAnsi="Times New Roman" w:cs="Times New Roman"/>
        </w:rPr>
        <w:t>.</w:t>
      </w:r>
    </w:p>
  </w:footnote>
  <w:footnote w:id="21">
    <w:p w:rsidR="00A57446" w:rsidRPr="00B8230B" w:rsidRDefault="00A57446" w:rsidP="00C6573C">
      <w:pPr>
        <w:pStyle w:val="Textodenotaderodap"/>
        <w:rPr>
          <w:rFonts w:ascii="Times New Roman" w:hAnsi="Times New Roman" w:cs="Times New Roman"/>
        </w:rPr>
      </w:pPr>
      <w:r w:rsidRPr="00B8230B">
        <w:rPr>
          <w:rStyle w:val="Refdenotaderodap"/>
          <w:rFonts w:ascii="Times New Roman" w:hAnsi="Times New Roman" w:cs="Times New Roman"/>
        </w:rPr>
        <w:footnoteRef/>
      </w:r>
      <w:r w:rsidRPr="00B8230B">
        <w:rPr>
          <w:rFonts w:ascii="Times New Roman" w:hAnsi="Times New Roman" w:cs="Times New Roman"/>
        </w:rPr>
        <w:t xml:space="preserve">  Informações obtidas na página da empresa: </w:t>
      </w:r>
      <w:hyperlink r:id="rId5" w:history="1">
        <w:r w:rsidRPr="00B8230B">
          <w:rPr>
            <w:rStyle w:val="Hyperlink"/>
            <w:rFonts w:ascii="Times New Roman" w:hAnsi="Times New Roman" w:cs="Times New Roman"/>
          </w:rPr>
          <w:t>www.shell.com</w:t>
        </w:r>
      </w:hyperlink>
      <w:r w:rsidRPr="00B8230B">
        <w:rPr>
          <w:rFonts w:ascii="Times New Roman" w:hAnsi="Times New Roman" w:cs="Times New Roman"/>
        </w:rPr>
        <w:t>.</w:t>
      </w:r>
    </w:p>
  </w:footnote>
  <w:footnote w:id="22">
    <w:p w:rsidR="00A57446" w:rsidRPr="005070D4" w:rsidRDefault="00A57446" w:rsidP="00C6573C">
      <w:pPr>
        <w:pStyle w:val="Textodenotaderodap"/>
        <w:rPr>
          <w:rFonts w:ascii="Times New Roman" w:hAnsi="Times New Roman" w:cs="Times New Roman"/>
        </w:rPr>
      </w:pPr>
      <w:r w:rsidRPr="005070D4">
        <w:rPr>
          <w:rStyle w:val="Refdenotaderodap"/>
          <w:rFonts w:ascii="Times New Roman" w:hAnsi="Times New Roman" w:cs="Times New Roman"/>
        </w:rPr>
        <w:footnoteRef/>
      </w:r>
      <w:r w:rsidRPr="005070D4">
        <w:rPr>
          <w:rFonts w:ascii="Times New Roman" w:hAnsi="Times New Roman" w:cs="Times New Roman"/>
          <w:lang w:val="en-US"/>
        </w:rPr>
        <w:t xml:space="preserve">  “HR BioPetroleum acquires Shell stake in Cellana”. </w:t>
      </w:r>
      <w:r w:rsidRPr="005070D4">
        <w:rPr>
          <w:rFonts w:ascii="Times New Roman" w:hAnsi="Times New Roman" w:cs="Times New Roman"/>
        </w:rPr>
        <w:t xml:space="preserve">Notícia publicada na página </w:t>
      </w:r>
      <w:hyperlink r:id="rId6" w:history="1">
        <w:r w:rsidRPr="009B6513">
          <w:rPr>
            <w:rStyle w:val="Hyperlink"/>
            <w:rFonts w:ascii="Times New Roman" w:hAnsi="Times New Roman" w:cs="Times New Roman"/>
          </w:rPr>
          <w:t>www.biodieselmagazine.com</w:t>
        </w:r>
      </w:hyperlink>
      <w:r>
        <w:rPr>
          <w:rFonts w:ascii="Times New Roman" w:hAnsi="Times New Roman" w:cs="Times New Roman"/>
        </w:rPr>
        <w:t xml:space="preserve"> em 01/02/2011. </w:t>
      </w:r>
    </w:p>
  </w:footnote>
  <w:footnote w:id="23">
    <w:p w:rsidR="00A57446" w:rsidRPr="006C1781" w:rsidRDefault="00A57446" w:rsidP="00C6573C">
      <w:pPr>
        <w:pStyle w:val="Textodenotaderodap"/>
        <w:rPr>
          <w:rFonts w:ascii="Times New Roman" w:hAnsi="Times New Roman" w:cs="Times New Roman"/>
        </w:rPr>
      </w:pPr>
      <w:r w:rsidRPr="006C1781">
        <w:rPr>
          <w:rStyle w:val="Refdenotaderodap"/>
          <w:rFonts w:ascii="Times New Roman" w:hAnsi="Times New Roman" w:cs="Times New Roman"/>
        </w:rPr>
        <w:footnoteRef/>
      </w:r>
      <w:r w:rsidRPr="006C1781">
        <w:rPr>
          <w:rFonts w:ascii="Times New Roman" w:hAnsi="Times New Roman" w:cs="Times New Roman"/>
        </w:rPr>
        <w:t xml:space="preserve"> Poder-se-ia até defender que a certificação de origem da matéria-prima e dos processos de produção seria uma forma de diferenciar o produto, mas à medida que a legislação dos pa</w:t>
      </w:r>
      <w:r>
        <w:rPr>
          <w:rFonts w:ascii="Times New Roman" w:hAnsi="Times New Roman" w:cs="Times New Roman"/>
        </w:rPr>
        <w:t>íses consumidores e produtores</w:t>
      </w:r>
      <w:r w:rsidRPr="006C1781">
        <w:rPr>
          <w:rFonts w:ascii="Times New Roman" w:hAnsi="Times New Roman" w:cs="Times New Roman"/>
        </w:rPr>
        <w:t xml:space="preserve"> torna-se mais exigente</w:t>
      </w:r>
      <w:r>
        <w:rPr>
          <w:rFonts w:ascii="Times New Roman" w:hAnsi="Times New Roman" w:cs="Times New Roman"/>
        </w:rPr>
        <w:t>,</w:t>
      </w:r>
      <w:r w:rsidRPr="006C1781">
        <w:rPr>
          <w:rFonts w:ascii="Times New Roman" w:hAnsi="Times New Roman" w:cs="Times New Roman"/>
        </w:rPr>
        <w:t xml:space="preserve"> esta medida deixa de ser um diferencial.</w:t>
      </w:r>
    </w:p>
  </w:footnote>
  <w:footnote w:id="24">
    <w:p w:rsidR="00A57446" w:rsidRPr="00DC1A22" w:rsidRDefault="00A57446" w:rsidP="00C6573C">
      <w:pPr>
        <w:pStyle w:val="Textodenotaderodap"/>
        <w:rPr>
          <w:rFonts w:ascii="Times New Roman" w:hAnsi="Times New Roman" w:cs="Times New Roman"/>
        </w:rPr>
      </w:pPr>
      <w:r w:rsidRPr="00DC1A22">
        <w:rPr>
          <w:rStyle w:val="Refdenotaderodap"/>
          <w:rFonts w:ascii="Times New Roman" w:hAnsi="Times New Roman" w:cs="Times New Roman"/>
        </w:rPr>
        <w:footnoteRef/>
      </w:r>
      <w:r w:rsidRPr="00DC1A22">
        <w:rPr>
          <w:rFonts w:ascii="Times New Roman" w:hAnsi="Times New Roman" w:cs="Times New Roman"/>
        </w:rPr>
        <w:t xml:space="preserve"> </w:t>
      </w:r>
      <w:r w:rsidRPr="00DC1A22">
        <w:rPr>
          <w:rFonts w:ascii="Times New Roman" w:hAnsi="Times New Roman" w:cs="Times New Roman"/>
          <w:i/>
        </w:rPr>
        <w:t>O futuro dos biocombustíveis XI: 2011 – ano 1 da era pós-etanol?</w:t>
      </w:r>
      <w:r>
        <w:rPr>
          <w:rFonts w:ascii="Times New Roman" w:hAnsi="Times New Roman" w:cs="Times New Roman"/>
        </w:rPr>
        <w:t xml:space="preserve"> Publicado em 27/02/2012 na página do</w:t>
      </w:r>
      <w:r w:rsidRPr="00DC1A22">
        <w:rPr>
          <w:rFonts w:ascii="Times New Roman" w:hAnsi="Times New Roman" w:cs="Times New Roman"/>
        </w:rPr>
        <w:t xml:space="preserve"> Blog Infopetro (</w:t>
      </w:r>
      <w:hyperlink r:id="rId7" w:history="1">
        <w:r w:rsidRPr="00DC1A22">
          <w:rPr>
            <w:rStyle w:val="Hyperlink"/>
            <w:rFonts w:ascii="Times New Roman" w:hAnsi="Times New Roman" w:cs="Times New Roman"/>
          </w:rPr>
          <w:t>infopetro.wordpress.com</w:t>
        </w:r>
      </w:hyperlink>
      <w:r w:rsidRPr="00DC1A22">
        <w:rPr>
          <w:rFonts w:ascii="Times New Roman" w:hAnsi="Times New Roman" w:cs="Times New Roman"/>
        </w:rPr>
        <w:t>).</w:t>
      </w:r>
    </w:p>
    <w:p w:rsidR="00A57446" w:rsidRPr="003D72FA" w:rsidRDefault="00A57446" w:rsidP="00C6573C">
      <w:pPr>
        <w:pStyle w:val="Textodenotaderodap"/>
      </w:pPr>
    </w:p>
  </w:footnote>
  <w:footnote w:id="25">
    <w:p w:rsidR="00A57446" w:rsidRPr="00DC02A1" w:rsidRDefault="00A57446" w:rsidP="00715F5B">
      <w:pPr>
        <w:pStyle w:val="Textodenotaderodap"/>
        <w:rPr>
          <w:rFonts w:ascii="Times New Roman" w:hAnsi="Times New Roman" w:cs="Times New Roman"/>
        </w:rPr>
      </w:pPr>
      <w:r w:rsidRPr="00087850">
        <w:rPr>
          <w:rStyle w:val="Refdenotaderodap"/>
          <w:rFonts w:ascii="Times New Roman" w:hAnsi="Times New Roman" w:cs="Times New Roman"/>
        </w:rPr>
        <w:footnoteRef/>
      </w:r>
      <w:r>
        <w:rPr>
          <w:rFonts w:ascii="Times New Roman" w:hAnsi="Times New Roman" w:cs="Times New Roman"/>
        </w:rPr>
        <w:t xml:space="preserve"> </w:t>
      </w:r>
      <w:r w:rsidRPr="008C5BEB">
        <w:rPr>
          <w:rFonts w:ascii="Times New Roman" w:hAnsi="Times New Roman" w:cs="Times New Roman"/>
        </w:rPr>
        <w:t>A fim de proteger os sistemas de controle de emissões dos veículos e motores, o CAA</w:t>
      </w:r>
      <w:r>
        <w:rPr>
          <w:rFonts w:ascii="Times New Roman" w:hAnsi="Times New Roman" w:cs="Times New Roman"/>
        </w:rPr>
        <w:t>, na realidade,</w:t>
      </w:r>
      <w:r w:rsidRPr="008C5BEB">
        <w:rPr>
          <w:rFonts w:ascii="Times New Roman" w:hAnsi="Times New Roman" w:cs="Times New Roman"/>
        </w:rPr>
        <w:t xml:space="preserve"> </w:t>
      </w:r>
      <w:r w:rsidRPr="00CC77D0">
        <w:rPr>
          <w:rFonts w:ascii="Times New Roman" w:hAnsi="Times New Roman" w:cs="Times New Roman"/>
          <w:i/>
        </w:rPr>
        <w:t>proíbe</w:t>
      </w:r>
      <w:r w:rsidRPr="008C5BEB">
        <w:rPr>
          <w:rFonts w:ascii="Times New Roman" w:hAnsi="Times New Roman" w:cs="Times New Roman"/>
        </w:rPr>
        <w:t xml:space="preserve"> a comercialização de comb</w:t>
      </w:r>
      <w:r>
        <w:rPr>
          <w:rFonts w:ascii="Times New Roman" w:hAnsi="Times New Roman" w:cs="Times New Roman"/>
        </w:rPr>
        <w:t>ustíveis ou aditivos que não sejam</w:t>
      </w:r>
      <w:r w:rsidRPr="008C5BEB">
        <w:rPr>
          <w:rFonts w:ascii="Times New Roman" w:hAnsi="Times New Roman" w:cs="Times New Roman"/>
        </w:rPr>
        <w:t xml:space="preserve"> “substancialmente semelhantes” aos combustíveis ou aditivos utilizados em veículos e motores no processo de certificação dos padrões de</w:t>
      </w:r>
      <w:r>
        <w:rPr>
          <w:rFonts w:ascii="Times New Roman" w:hAnsi="Times New Roman" w:cs="Times New Roman"/>
        </w:rPr>
        <w:t xml:space="preserve"> emissões</w:t>
      </w:r>
      <w:r w:rsidRPr="008C5BEB">
        <w:rPr>
          <w:rFonts w:ascii="Times New Roman" w:hAnsi="Times New Roman" w:cs="Times New Roman"/>
        </w:rPr>
        <w:t>. No entanto, o CAA autoriza EPA a retirar esta proibição (</w:t>
      </w:r>
      <w:r>
        <w:rPr>
          <w:rFonts w:ascii="Times New Roman" w:hAnsi="Times New Roman" w:cs="Times New Roman"/>
        </w:rPr>
        <w:t xml:space="preserve">i.e. conceder um </w:t>
      </w:r>
      <w:r w:rsidRPr="008C5BEB">
        <w:rPr>
          <w:rFonts w:ascii="Times New Roman" w:hAnsi="Times New Roman" w:cs="Times New Roman"/>
          <w:i/>
        </w:rPr>
        <w:t>waiver</w:t>
      </w:r>
      <w:r w:rsidRPr="008C5BEB">
        <w:rPr>
          <w:rFonts w:ascii="Times New Roman" w:hAnsi="Times New Roman" w:cs="Times New Roman"/>
        </w:rPr>
        <w:t>) se for demonstrado que os veículos e motores que utilizem o novo combustível ou aditivo continuarão a cumprir as normas de emissões durante sua "vida ú</w:t>
      </w:r>
      <w:r>
        <w:rPr>
          <w:rFonts w:ascii="Times New Roman" w:hAnsi="Times New Roman" w:cs="Times New Roman"/>
        </w:rPr>
        <w:t>til total" (por exemplo, 200.000 km</w:t>
      </w:r>
      <w:r w:rsidRPr="008C5BEB">
        <w:rPr>
          <w:rFonts w:ascii="Times New Roman" w:hAnsi="Times New Roman" w:cs="Times New Roman"/>
        </w:rPr>
        <w:t xml:space="preserve"> para os veículos leves, dependendo do tipo de veículo e ano do modelo)</w:t>
      </w:r>
      <w:r>
        <w:rPr>
          <w:rFonts w:ascii="Times New Roman" w:hAnsi="Times New Roman" w:cs="Times New Roman"/>
        </w:rPr>
        <w:t xml:space="preserve"> (EPA, 2012)</w:t>
      </w:r>
      <w:r w:rsidRPr="008C5BEB">
        <w:rPr>
          <w:rFonts w:ascii="Times New Roman" w:hAnsi="Times New Roman" w:cs="Times New Roman"/>
        </w:rPr>
        <w:t>.</w:t>
      </w:r>
    </w:p>
  </w:footnote>
  <w:footnote w:id="26">
    <w:p w:rsidR="00A57446" w:rsidRPr="002C5852" w:rsidRDefault="00A57446" w:rsidP="00715F5B">
      <w:pPr>
        <w:pStyle w:val="Textodenotaderodap"/>
        <w:rPr>
          <w:rFonts w:ascii="Times New Roman" w:hAnsi="Times New Roman" w:cs="Times New Roman"/>
        </w:rPr>
      </w:pPr>
      <w:r w:rsidRPr="002C5852">
        <w:rPr>
          <w:rStyle w:val="Refdenotaderodap"/>
          <w:rFonts w:ascii="Times New Roman" w:hAnsi="Times New Roman" w:cs="Times New Roman"/>
        </w:rPr>
        <w:footnoteRef/>
      </w:r>
      <w:r w:rsidRPr="002C5852">
        <w:rPr>
          <w:rFonts w:ascii="Times New Roman" w:hAnsi="Times New Roman" w:cs="Times New Roman"/>
        </w:rPr>
        <w:t xml:space="preserve"> Produtores</w:t>
      </w:r>
      <w:r>
        <w:rPr>
          <w:rFonts w:ascii="Times New Roman" w:hAnsi="Times New Roman" w:cs="Times New Roman"/>
        </w:rPr>
        <w:t xml:space="preserve"> e importadores</w:t>
      </w:r>
      <w:r w:rsidRPr="002C5852">
        <w:rPr>
          <w:rFonts w:ascii="Times New Roman" w:hAnsi="Times New Roman" w:cs="Times New Roman"/>
        </w:rPr>
        <w:t xml:space="preserve"> de gasolina e diesel fósseis, que submetem os volumes a serem cumpridos </w:t>
      </w:r>
      <w:r>
        <w:rPr>
          <w:rFonts w:ascii="Times New Roman" w:hAnsi="Times New Roman" w:cs="Times New Roman"/>
        </w:rPr>
        <w:t xml:space="preserve">ao final do ano </w:t>
      </w:r>
      <w:r w:rsidRPr="002C5852">
        <w:rPr>
          <w:rFonts w:ascii="Times New Roman" w:hAnsi="Times New Roman" w:cs="Times New Roman"/>
        </w:rPr>
        <w:t>com base no volume produzid</w:t>
      </w:r>
      <w:r>
        <w:rPr>
          <w:rFonts w:ascii="Times New Roman" w:hAnsi="Times New Roman" w:cs="Times New Roman"/>
        </w:rPr>
        <w:t>o no período</w:t>
      </w:r>
      <w:r w:rsidRPr="002C5852">
        <w:rPr>
          <w:rFonts w:ascii="Times New Roman" w:hAnsi="Times New Roman" w:cs="Times New Roman"/>
        </w:rPr>
        <w:t>. Esses volumes deverão ser atualizados</w:t>
      </w:r>
      <w:r>
        <w:rPr>
          <w:rFonts w:ascii="Times New Roman" w:hAnsi="Times New Roman" w:cs="Times New Roman"/>
        </w:rPr>
        <w:t xml:space="preserve"> e reportados</w:t>
      </w:r>
      <w:r w:rsidRPr="002C5852">
        <w:rPr>
          <w:rFonts w:ascii="Times New Roman" w:hAnsi="Times New Roman" w:cs="Times New Roman"/>
        </w:rPr>
        <w:t xml:space="preserve"> anualmente</w:t>
      </w:r>
      <w:r>
        <w:rPr>
          <w:rFonts w:ascii="Times New Roman" w:hAnsi="Times New Roman" w:cs="Times New Roman"/>
        </w:rPr>
        <w:t xml:space="preserve"> a fim de demonstrar conformidade com o programa</w:t>
      </w:r>
      <w:r w:rsidRPr="002C5852">
        <w:rPr>
          <w:rFonts w:ascii="Times New Roman" w:hAnsi="Times New Roman" w:cs="Times New Roman"/>
        </w:rPr>
        <w:t xml:space="preserve"> (</w:t>
      </w:r>
      <w:r>
        <w:rPr>
          <w:rFonts w:ascii="Times New Roman" w:hAnsi="Times New Roman" w:cs="Times New Roman"/>
        </w:rPr>
        <w:t>EPA, 2010</w:t>
      </w:r>
      <w:r w:rsidRPr="002C5852">
        <w:rPr>
          <w:rFonts w:ascii="Times New Roman" w:hAnsi="Times New Roman" w:cs="Times New Roman"/>
        </w:rPr>
        <w:t>)</w:t>
      </w:r>
      <w:r>
        <w:rPr>
          <w:rFonts w:ascii="Times New Roman" w:hAnsi="Times New Roman" w:cs="Times New Roman"/>
        </w:rPr>
        <w:t>.</w:t>
      </w:r>
    </w:p>
  </w:footnote>
  <w:footnote w:id="27">
    <w:p w:rsidR="00A57446" w:rsidRPr="002412BD" w:rsidRDefault="00A57446" w:rsidP="00715F5B">
      <w:pPr>
        <w:pStyle w:val="Textodenotaderodap"/>
        <w:rPr>
          <w:rFonts w:ascii="Times New Roman" w:hAnsi="Times New Roman" w:cs="Times New Roman"/>
        </w:rPr>
      </w:pPr>
      <w:r w:rsidRPr="002412BD">
        <w:rPr>
          <w:rStyle w:val="Refdenotaderodap"/>
          <w:rFonts w:ascii="Times New Roman" w:hAnsi="Times New Roman" w:cs="Times New Roman"/>
        </w:rPr>
        <w:footnoteRef/>
      </w:r>
      <w:r w:rsidRPr="002412BD">
        <w:rPr>
          <w:rFonts w:ascii="Times New Roman" w:hAnsi="Times New Roman" w:cs="Times New Roman"/>
        </w:rPr>
        <w:t xml:space="preserve"> Para compreender o funcionamento do mer</w:t>
      </w:r>
      <w:r>
        <w:rPr>
          <w:rFonts w:ascii="Times New Roman" w:hAnsi="Times New Roman" w:cs="Times New Roman"/>
        </w:rPr>
        <w:t>cado de RINs sob o RFS2, ver Sc</w:t>
      </w:r>
      <w:r w:rsidRPr="002412BD">
        <w:rPr>
          <w:rFonts w:ascii="Times New Roman" w:hAnsi="Times New Roman" w:cs="Times New Roman"/>
        </w:rPr>
        <w:t>h</w:t>
      </w:r>
      <w:r>
        <w:rPr>
          <w:rFonts w:ascii="Times New Roman" w:hAnsi="Times New Roman" w:cs="Times New Roman"/>
        </w:rPr>
        <w:t>n</w:t>
      </w:r>
      <w:r w:rsidRPr="002412BD">
        <w:rPr>
          <w:rFonts w:ascii="Times New Roman" w:hAnsi="Times New Roman" w:cs="Times New Roman"/>
        </w:rPr>
        <w:t>epf e Yacobucci (2012).</w:t>
      </w:r>
    </w:p>
  </w:footnote>
  <w:footnote w:id="28">
    <w:p w:rsidR="00A57446" w:rsidRPr="008D7B1D" w:rsidRDefault="00A57446" w:rsidP="00715F5B">
      <w:pPr>
        <w:pStyle w:val="Textodenotaderodap"/>
        <w:rPr>
          <w:rFonts w:ascii="Times New Roman" w:hAnsi="Times New Roman" w:cs="Times New Roman"/>
        </w:rPr>
      </w:pPr>
      <w:r w:rsidRPr="008D7B1D">
        <w:rPr>
          <w:rStyle w:val="Refdenotaderodap"/>
          <w:rFonts w:ascii="Times New Roman" w:hAnsi="Times New Roman" w:cs="Times New Roman"/>
        </w:rPr>
        <w:footnoteRef/>
      </w:r>
      <w:r w:rsidRPr="008D7B1D">
        <w:rPr>
          <w:rFonts w:ascii="Times New Roman" w:hAnsi="Times New Roman" w:cs="Times New Roman"/>
        </w:rPr>
        <w:t xml:space="preserve"> Há uma especificação bastante detalhada referente à “biomassa renovável”, sobretudo com rel</w:t>
      </w:r>
      <w:r>
        <w:rPr>
          <w:rFonts w:ascii="Times New Roman" w:hAnsi="Times New Roman" w:cs="Times New Roman"/>
        </w:rPr>
        <w:t>ação às terras utilizadas para seu cultivo</w:t>
      </w:r>
      <w:r w:rsidRPr="008D7B1D">
        <w:rPr>
          <w:rFonts w:ascii="Times New Roman" w:hAnsi="Times New Roman" w:cs="Times New Roman"/>
        </w:rPr>
        <w:t>, com o objetivo de garantir que o programa não incentive o desmatamento.</w:t>
      </w:r>
      <w:r>
        <w:rPr>
          <w:rFonts w:ascii="Times New Roman" w:hAnsi="Times New Roman" w:cs="Times New Roman"/>
        </w:rPr>
        <w:t xml:space="preserve"> Ver EPA (2010a, p. 14681) para a completa definição do conceito e requisitos necessários.</w:t>
      </w:r>
    </w:p>
  </w:footnote>
  <w:footnote w:id="29">
    <w:p w:rsidR="00A57446" w:rsidRPr="00D31CC0" w:rsidRDefault="00A57446" w:rsidP="00715F5B">
      <w:pPr>
        <w:pStyle w:val="Textodenotaderodap"/>
        <w:rPr>
          <w:rFonts w:ascii="Times New Roman" w:hAnsi="Times New Roman" w:cs="Times New Roman"/>
          <w:lang w:val="en-US"/>
        </w:rPr>
      </w:pPr>
      <w:r w:rsidRPr="00D31CC0">
        <w:rPr>
          <w:rStyle w:val="Refdenotaderodap"/>
          <w:rFonts w:ascii="Times New Roman" w:hAnsi="Times New Roman" w:cs="Times New Roman"/>
        </w:rPr>
        <w:footnoteRef/>
      </w:r>
      <w:r w:rsidRPr="00D31CC0">
        <w:rPr>
          <w:rFonts w:ascii="Times New Roman" w:hAnsi="Times New Roman" w:cs="Times New Roman"/>
          <w:lang w:val="en-US"/>
        </w:rPr>
        <w:t xml:space="preserve"> </w:t>
      </w:r>
      <w:r>
        <w:rPr>
          <w:rFonts w:ascii="Times New Roman" w:hAnsi="Times New Roman" w:cs="Times New Roman"/>
          <w:lang w:val="en-US"/>
        </w:rPr>
        <w:t xml:space="preserve">“Based on our </w:t>
      </w:r>
      <w:r w:rsidRPr="00D31CC0">
        <w:rPr>
          <w:rFonts w:ascii="Times New Roman" w:hAnsi="Times New Roman" w:cs="Times New Roman"/>
          <w:lang w:val="en-US"/>
        </w:rPr>
        <w:t xml:space="preserve">current </w:t>
      </w:r>
      <w:r>
        <w:rPr>
          <w:rFonts w:ascii="Times New Roman" w:hAnsi="Times New Roman" w:cs="Times New Roman"/>
          <w:lang w:val="en-US"/>
        </w:rPr>
        <w:t xml:space="preserve">analysis of available pathways </w:t>
      </w:r>
      <w:r w:rsidRPr="00D31CC0">
        <w:rPr>
          <w:rFonts w:ascii="Times New Roman" w:hAnsi="Times New Roman" w:cs="Times New Roman"/>
          <w:lang w:val="en-US"/>
        </w:rPr>
        <w:t xml:space="preserve">for </w:t>
      </w:r>
      <w:r>
        <w:rPr>
          <w:rFonts w:ascii="Times New Roman" w:hAnsi="Times New Roman" w:cs="Times New Roman"/>
          <w:lang w:val="en-US"/>
        </w:rPr>
        <w:t xml:space="preserve">producing advanced biofuel, we </w:t>
      </w:r>
      <w:r w:rsidRPr="00D31CC0">
        <w:rPr>
          <w:rFonts w:ascii="Times New Roman" w:hAnsi="Times New Roman" w:cs="Times New Roman"/>
          <w:lang w:val="en-US"/>
        </w:rPr>
        <w:t>believ</w:t>
      </w:r>
      <w:r>
        <w:rPr>
          <w:rFonts w:ascii="Times New Roman" w:hAnsi="Times New Roman" w:cs="Times New Roman"/>
          <w:lang w:val="en-US"/>
        </w:rPr>
        <w:t xml:space="preserve">e that it will be necessary to </w:t>
      </w:r>
      <w:r w:rsidRPr="00D31CC0">
        <w:rPr>
          <w:rFonts w:ascii="Times New Roman" w:hAnsi="Times New Roman" w:cs="Times New Roman"/>
          <w:lang w:val="en-US"/>
        </w:rPr>
        <w:t>inc</w:t>
      </w:r>
      <w:r>
        <w:rPr>
          <w:rFonts w:ascii="Times New Roman" w:hAnsi="Times New Roman" w:cs="Times New Roman"/>
          <w:lang w:val="en-US"/>
        </w:rPr>
        <w:t xml:space="preserve">lude over 2 billion gallons of </w:t>
      </w:r>
      <w:r w:rsidRPr="00D31CC0">
        <w:rPr>
          <w:rFonts w:ascii="Times New Roman" w:hAnsi="Times New Roman" w:cs="Times New Roman"/>
          <w:lang w:val="en-US"/>
        </w:rPr>
        <w:t>sugarcan</w:t>
      </w:r>
      <w:r>
        <w:rPr>
          <w:rFonts w:ascii="Times New Roman" w:hAnsi="Times New Roman" w:cs="Times New Roman"/>
          <w:lang w:val="en-US"/>
        </w:rPr>
        <w:t xml:space="preserve">e ethanol in order to meet the </w:t>
      </w:r>
      <w:r w:rsidRPr="00D31CC0">
        <w:rPr>
          <w:rFonts w:ascii="Times New Roman" w:hAnsi="Times New Roman" w:cs="Times New Roman"/>
          <w:lang w:val="en-US"/>
        </w:rPr>
        <w:t>advanc</w:t>
      </w:r>
      <w:r>
        <w:rPr>
          <w:rFonts w:ascii="Times New Roman" w:hAnsi="Times New Roman" w:cs="Times New Roman"/>
          <w:lang w:val="en-US"/>
        </w:rPr>
        <w:t xml:space="preserve">ed biofuel volumes anticipated </w:t>
      </w:r>
      <w:r w:rsidRPr="00D31CC0">
        <w:rPr>
          <w:rFonts w:ascii="Times New Roman" w:hAnsi="Times New Roman" w:cs="Times New Roman"/>
          <w:lang w:val="en-US"/>
        </w:rPr>
        <w:t>by EISA</w:t>
      </w:r>
      <w:r>
        <w:rPr>
          <w:rFonts w:ascii="Times New Roman" w:hAnsi="Times New Roman" w:cs="Times New Roman"/>
          <w:lang w:val="en-US"/>
        </w:rPr>
        <w:t xml:space="preserve">. If sugarcane ethanol was not </w:t>
      </w:r>
      <w:r w:rsidRPr="00D31CC0">
        <w:rPr>
          <w:rFonts w:ascii="Times New Roman" w:hAnsi="Times New Roman" w:cs="Times New Roman"/>
          <w:lang w:val="en-US"/>
        </w:rPr>
        <w:t>an eligi</w:t>
      </w:r>
      <w:r>
        <w:rPr>
          <w:rFonts w:ascii="Times New Roman" w:hAnsi="Times New Roman" w:cs="Times New Roman"/>
          <w:lang w:val="en-US"/>
        </w:rPr>
        <w:t xml:space="preserve">ble source of advanced biofuel </w:t>
      </w:r>
      <w:r w:rsidRPr="00D31CC0">
        <w:rPr>
          <w:rFonts w:ascii="Times New Roman" w:hAnsi="Times New Roman" w:cs="Times New Roman"/>
          <w:lang w:val="en-US"/>
        </w:rPr>
        <w:t>and other</w:t>
      </w:r>
      <w:r>
        <w:rPr>
          <w:rFonts w:ascii="Times New Roman" w:hAnsi="Times New Roman" w:cs="Times New Roman"/>
          <w:lang w:val="en-US"/>
        </w:rPr>
        <w:t xml:space="preserve"> unanticipated sources did not </w:t>
      </w:r>
      <w:r w:rsidRPr="00D31CC0">
        <w:rPr>
          <w:rFonts w:ascii="Times New Roman" w:hAnsi="Times New Roman" w:cs="Times New Roman"/>
          <w:lang w:val="en-US"/>
        </w:rPr>
        <w:t>beco</w:t>
      </w:r>
      <w:r>
        <w:rPr>
          <w:rFonts w:ascii="Times New Roman" w:hAnsi="Times New Roman" w:cs="Times New Roman"/>
          <w:lang w:val="en-US"/>
        </w:rPr>
        <w:t xml:space="preserve">me available, the standard for </w:t>
      </w:r>
      <w:r w:rsidRPr="00D31CC0">
        <w:rPr>
          <w:rFonts w:ascii="Times New Roman" w:hAnsi="Times New Roman" w:cs="Times New Roman"/>
          <w:lang w:val="en-US"/>
        </w:rPr>
        <w:t>adv</w:t>
      </w:r>
      <w:r>
        <w:rPr>
          <w:rFonts w:ascii="Times New Roman" w:hAnsi="Times New Roman" w:cs="Times New Roman"/>
          <w:lang w:val="en-US"/>
        </w:rPr>
        <w:t xml:space="preserve">anced biofuel would have to be </w:t>
      </w:r>
      <w:r w:rsidRPr="00D31CC0">
        <w:rPr>
          <w:rFonts w:ascii="Times New Roman" w:hAnsi="Times New Roman" w:cs="Times New Roman"/>
          <w:lang w:val="en-US"/>
        </w:rPr>
        <w:t>lo</w:t>
      </w:r>
      <w:r>
        <w:rPr>
          <w:rFonts w:ascii="Times New Roman" w:hAnsi="Times New Roman" w:cs="Times New Roman"/>
          <w:lang w:val="en-US"/>
        </w:rPr>
        <w:t xml:space="preserve">wer to the extent necessary to </w:t>
      </w:r>
      <w:r w:rsidRPr="00D31CC0">
        <w:rPr>
          <w:rFonts w:ascii="Times New Roman" w:hAnsi="Times New Roman" w:cs="Times New Roman"/>
          <w:lang w:val="en-US"/>
        </w:rPr>
        <w:t>compensate for the lack of elig</w:t>
      </w:r>
      <w:r>
        <w:rPr>
          <w:rFonts w:ascii="Times New Roman" w:hAnsi="Times New Roman" w:cs="Times New Roman"/>
          <w:lang w:val="en-US"/>
        </w:rPr>
        <w:t xml:space="preserve">ible </w:t>
      </w:r>
      <w:r w:rsidRPr="00D31CC0">
        <w:rPr>
          <w:rFonts w:ascii="Times New Roman" w:hAnsi="Times New Roman" w:cs="Times New Roman"/>
          <w:lang w:val="en-US"/>
        </w:rPr>
        <w:t>sugarcan</w:t>
      </w:r>
      <w:r>
        <w:rPr>
          <w:rFonts w:ascii="Times New Roman" w:hAnsi="Times New Roman" w:cs="Times New Roman"/>
          <w:lang w:val="en-US"/>
        </w:rPr>
        <w:t xml:space="preserve">e ethanol. The lower amount of </w:t>
      </w:r>
      <w:r w:rsidRPr="00D31CC0">
        <w:rPr>
          <w:rFonts w:ascii="Times New Roman" w:hAnsi="Times New Roman" w:cs="Times New Roman"/>
          <w:lang w:val="en-US"/>
        </w:rPr>
        <w:t>ad</w:t>
      </w:r>
      <w:r>
        <w:rPr>
          <w:rFonts w:ascii="Times New Roman" w:hAnsi="Times New Roman" w:cs="Times New Roman"/>
          <w:lang w:val="en-US"/>
        </w:rPr>
        <w:t xml:space="preserve">vanced biofuel would then most </w:t>
      </w:r>
      <w:r w:rsidRPr="00D31CC0">
        <w:rPr>
          <w:rFonts w:ascii="Times New Roman" w:hAnsi="Times New Roman" w:cs="Times New Roman"/>
          <w:lang w:val="en-US"/>
        </w:rPr>
        <w:t>likely be</w:t>
      </w:r>
      <w:r>
        <w:rPr>
          <w:rFonts w:ascii="Times New Roman" w:hAnsi="Times New Roman" w:cs="Times New Roman"/>
          <w:lang w:val="en-US"/>
        </w:rPr>
        <w:t xml:space="preserve"> replaced with petroleum-based </w:t>
      </w:r>
      <w:r w:rsidRPr="00D31CC0">
        <w:rPr>
          <w:rFonts w:ascii="Times New Roman" w:hAnsi="Times New Roman" w:cs="Times New Roman"/>
          <w:lang w:val="en-US"/>
        </w:rPr>
        <w:t>gasoli</w:t>
      </w:r>
      <w:r>
        <w:rPr>
          <w:rFonts w:ascii="Times New Roman" w:hAnsi="Times New Roman" w:cs="Times New Roman"/>
          <w:lang w:val="en-US"/>
        </w:rPr>
        <w:t xml:space="preserve">ne. The replacement fuel would </w:t>
      </w:r>
      <w:r w:rsidRPr="00D31CC0">
        <w:rPr>
          <w:rFonts w:ascii="Times New Roman" w:hAnsi="Times New Roman" w:cs="Times New Roman"/>
          <w:lang w:val="en-US"/>
        </w:rPr>
        <w:t xml:space="preserve">have a </w:t>
      </w:r>
      <w:r>
        <w:rPr>
          <w:rFonts w:ascii="Times New Roman" w:hAnsi="Times New Roman" w:cs="Times New Roman"/>
          <w:lang w:val="en-US"/>
        </w:rPr>
        <w:t xml:space="preserve">worse GHG performance than the </w:t>
      </w:r>
      <w:r w:rsidRPr="00D31CC0">
        <w:rPr>
          <w:rFonts w:ascii="Times New Roman" w:hAnsi="Times New Roman" w:cs="Times New Roman"/>
          <w:lang w:val="en-US"/>
        </w:rPr>
        <w:t>sug</w:t>
      </w:r>
      <w:r>
        <w:rPr>
          <w:rFonts w:ascii="Times New Roman" w:hAnsi="Times New Roman" w:cs="Times New Roman"/>
          <w:lang w:val="en-US"/>
        </w:rPr>
        <w:t xml:space="preserve">arcane ethanol. Therefore, GHG </w:t>
      </w:r>
      <w:r w:rsidRPr="00D31CC0">
        <w:rPr>
          <w:rFonts w:ascii="Times New Roman" w:hAnsi="Times New Roman" w:cs="Times New Roman"/>
          <w:lang w:val="en-US"/>
        </w:rPr>
        <w:t>performance of the tran</w:t>
      </w:r>
      <w:r>
        <w:rPr>
          <w:rFonts w:ascii="Times New Roman" w:hAnsi="Times New Roman" w:cs="Times New Roman"/>
          <w:lang w:val="en-US"/>
        </w:rPr>
        <w:t>sportation fuel p</w:t>
      </w:r>
      <w:r w:rsidRPr="00D31CC0">
        <w:rPr>
          <w:rFonts w:ascii="Times New Roman" w:hAnsi="Times New Roman" w:cs="Times New Roman"/>
          <w:lang w:val="en-US"/>
        </w:rPr>
        <w:t>ool would suffer</w:t>
      </w:r>
      <w:r>
        <w:rPr>
          <w:rFonts w:ascii="Times New Roman" w:hAnsi="Times New Roman" w:cs="Times New Roman"/>
          <w:lang w:val="en-US"/>
        </w:rPr>
        <w:t>” (EPA, 2010a, p. 14790)</w:t>
      </w:r>
      <w:r w:rsidRPr="00D31CC0">
        <w:rPr>
          <w:rFonts w:ascii="Times New Roman" w:hAnsi="Times New Roman" w:cs="Times New Roman"/>
          <w:lang w:val="en-US"/>
        </w:rPr>
        <w:t>.</w:t>
      </w:r>
    </w:p>
  </w:footnote>
  <w:footnote w:id="30">
    <w:p w:rsidR="00A57446" w:rsidRPr="009334CC" w:rsidRDefault="00A57446" w:rsidP="00715F5B">
      <w:pPr>
        <w:pStyle w:val="Textodenotaderodap"/>
        <w:rPr>
          <w:rFonts w:ascii="Times New Roman" w:hAnsi="Times New Roman" w:cs="Times New Roman"/>
        </w:rPr>
      </w:pPr>
      <w:r w:rsidRPr="009334CC">
        <w:rPr>
          <w:rStyle w:val="Refdenotaderodap"/>
          <w:rFonts w:ascii="Times New Roman" w:hAnsi="Times New Roman" w:cs="Times New Roman"/>
        </w:rPr>
        <w:footnoteRef/>
      </w:r>
      <w:r w:rsidRPr="009334CC">
        <w:rPr>
          <w:rFonts w:ascii="Times New Roman" w:hAnsi="Times New Roman" w:cs="Times New Roman"/>
        </w:rPr>
        <w:t xml:space="preserve"> </w:t>
      </w:r>
      <w:r>
        <w:rPr>
          <w:rFonts w:ascii="Times New Roman" w:hAnsi="Times New Roman" w:cs="Times New Roman"/>
        </w:rPr>
        <w:t>O histórico apresentado</w:t>
      </w:r>
      <w:r w:rsidRPr="009334CC">
        <w:rPr>
          <w:rFonts w:ascii="Times New Roman" w:hAnsi="Times New Roman" w:cs="Times New Roman"/>
        </w:rPr>
        <w:t xml:space="preserve"> nesta seção é baseado em Slating e Kesan (</w:t>
      </w:r>
      <w:r>
        <w:rPr>
          <w:rFonts w:ascii="Times New Roman" w:hAnsi="Times New Roman" w:cs="Times New Roman"/>
        </w:rPr>
        <w:t>2011), exceto quando ex</w:t>
      </w:r>
      <w:r w:rsidRPr="009334CC">
        <w:rPr>
          <w:rFonts w:ascii="Times New Roman" w:hAnsi="Times New Roman" w:cs="Times New Roman"/>
        </w:rPr>
        <w:t>plicitada outra fonte.</w:t>
      </w:r>
    </w:p>
  </w:footnote>
  <w:footnote w:id="31">
    <w:p w:rsidR="00A57446" w:rsidRPr="005A70DA" w:rsidRDefault="00A57446" w:rsidP="00715F5B">
      <w:pPr>
        <w:pStyle w:val="Textodenotaderodap"/>
        <w:rPr>
          <w:rFonts w:ascii="Times New Roman" w:hAnsi="Times New Roman" w:cs="Times New Roman"/>
        </w:rPr>
      </w:pPr>
      <w:r w:rsidRPr="005A70DA">
        <w:rPr>
          <w:rStyle w:val="Refdenotaderodap"/>
          <w:rFonts w:ascii="Times New Roman" w:hAnsi="Times New Roman" w:cs="Times New Roman"/>
        </w:rPr>
        <w:footnoteRef/>
      </w:r>
      <w:r w:rsidRPr="005A70DA">
        <w:rPr>
          <w:rFonts w:ascii="Times New Roman" w:hAnsi="Times New Roman" w:cs="Times New Roman"/>
        </w:rPr>
        <w:t xml:space="preserve"> De acordo com informações da Butamax, é necessário adequar o tanque de fermentação para o novo biocatalisador e modificar o equipamento de destilação.</w:t>
      </w:r>
    </w:p>
  </w:footnote>
  <w:footnote w:id="32">
    <w:p w:rsidR="00A57446" w:rsidRPr="004E6821" w:rsidRDefault="00A57446" w:rsidP="00715F5B">
      <w:pPr>
        <w:pStyle w:val="Textodenotaderodap"/>
        <w:rPr>
          <w:rFonts w:ascii="Times New Roman" w:hAnsi="Times New Roman" w:cs="Times New Roman"/>
        </w:rPr>
      </w:pPr>
      <w:r w:rsidRPr="004E6821">
        <w:rPr>
          <w:rStyle w:val="Refdenotaderodap"/>
          <w:rFonts w:ascii="Times New Roman" w:hAnsi="Times New Roman" w:cs="Times New Roman"/>
        </w:rPr>
        <w:footnoteRef/>
      </w:r>
      <w:r w:rsidRPr="004E6821">
        <w:rPr>
          <w:rFonts w:ascii="Times New Roman" w:hAnsi="Times New Roman" w:cs="Times New Roman"/>
        </w:rPr>
        <w:t xml:space="preserve"> O histórico dessa disputa está disponível em: </w:t>
      </w:r>
      <w:hyperlink r:id="rId8" w:history="1">
        <w:r w:rsidRPr="004E6821">
          <w:rPr>
            <w:rStyle w:val="Hyperlink"/>
            <w:rFonts w:ascii="Times New Roman" w:hAnsi="Times New Roman" w:cs="Times New Roman"/>
          </w:rPr>
          <w:t>http://www.gevo.com/wp-content/uploads/2012/04/chronological_timeline.pdf</w:t>
        </w:r>
      </w:hyperlink>
      <w:r w:rsidRPr="004E6821">
        <w:rPr>
          <w:rFonts w:ascii="Times New Roman" w:hAnsi="Times New Roman" w:cs="Times New Roman"/>
        </w:rPr>
        <w:t>.</w:t>
      </w:r>
    </w:p>
  </w:footnote>
  <w:footnote w:id="33">
    <w:p w:rsidR="00A57446" w:rsidRPr="00113DB1" w:rsidRDefault="00A57446" w:rsidP="00715F5B">
      <w:pPr>
        <w:pStyle w:val="Textodenotaderodap"/>
        <w:rPr>
          <w:rFonts w:ascii="Times New Roman" w:hAnsi="Times New Roman" w:cs="Times New Roman"/>
          <w:lang w:val="en-US"/>
        </w:rPr>
      </w:pPr>
      <w:r w:rsidRPr="00113DB1">
        <w:rPr>
          <w:rStyle w:val="Refdenotaderodap"/>
          <w:rFonts w:ascii="Times New Roman" w:hAnsi="Times New Roman" w:cs="Times New Roman"/>
        </w:rPr>
        <w:footnoteRef/>
      </w:r>
      <w:r w:rsidRPr="00113DB1">
        <w:rPr>
          <w:rFonts w:ascii="Times New Roman" w:hAnsi="Times New Roman" w:cs="Times New Roman"/>
          <w:lang w:val="en-US"/>
        </w:rPr>
        <w:t xml:space="preserve"> 2008 </w:t>
      </w:r>
      <w:r w:rsidRPr="005A4115">
        <w:rPr>
          <w:rFonts w:ascii="Times New Roman" w:hAnsi="Times New Roman" w:cs="Times New Roman"/>
          <w:i/>
          <w:lang w:val="en-US"/>
        </w:rPr>
        <w:t>Substantially Similar Rule</w:t>
      </w:r>
      <w:r w:rsidRPr="00113DB1">
        <w:rPr>
          <w:rFonts w:ascii="Times New Roman" w:hAnsi="Times New Roman" w:cs="Times New Roman"/>
          <w:lang w:val="en-US"/>
        </w:rPr>
        <w:t xml:space="preserve"> (</w:t>
      </w:r>
      <w:hyperlink r:id="rId9" w:history="1">
        <w:r w:rsidRPr="00113DB1">
          <w:rPr>
            <w:rStyle w:val="Hyperlink"/>
            <w:rFonts w:ascii="Times New Roman" w:hAnsi="Times New Roman" w:cs="Times New Roman"/>
            <w:lang w:val="en-US"/>
          </w:rPr>
          <w:t>http://www.epa.gov/fedrgstr/EPA-AIR/2008/April/Day-25/a8944.pdf</w:t>
        </w:r>
      </w:hyperlink>
      <w:r w:rsidRPr="00113DB1">
        <w:rPr>
          <w:rFonts w:ascii="Times New Roman" w:hAnsi="Times New Roman" w:cs="Times New Roman"/>
          <w:lang w:val="en-US"/>
        </w:rPr>
        <w:t>).</w:t>
      </w:r>
    </w:p>
  </w:footnote>
  <w:footnote w:id="34">
    <w:p w:rsidR="00A57446" w:rsidRPr="00795CF2" w:rsidRDefault="00A57446" w:rsidP="00715F5B">
      <w:pPr>
        <w:pStyle w:val="Textodenotaderodap"/>
        <w:rPr>
          <w:rFonts w:ascii="Times New Roman" w:hAnsi="Times New Roman" w:cs="Times New Roman"/>
          <w:lang w:val="en-US"/>
        </w:rPr>
      </w:pPr>
      <w:r w:rsidRPr="00113DB1">
        <w:rPr>
          <w:rStyle w:val="Refdenotaderodap"/>
          <w:rFonts w:ascii="Times New Roman" w:hAnsi="Times New Roman" w:cs="Times New Roman"/>
        </w:rPr>
        <w:footnoteRef/>
      </w:r>
      <w:r w:rsidRPr="00795CF2">
        <w:rPr>
          <w:rFonts w:ascii="Times New Roman" w:hAnsi="Times New Roman" w:cs="Times New Roman"/>
          <w:lang w:val="en-US"/>
        </w:rPr>
        <w:t xml:space="preserve"> </w:t>
      </w:r>
      <w:hyperlink r:id="rId10" w:history="1">
        <w:r w:rsidRPr="00795CF2">
          <w:rPr>
            <w:rStyle w:val="Hyperlink"/>
            <w:rFonts w:ascii="Times New Roman" w:hAnsi="Times New Roman" w:cs="Times New Roman"/>
            <w:lang w:val="en-US"/>
          </w:rPr>
          <w:t>http://www.afdc.energy.gov/afdc/fuels/emerging_biobutanol_what_is.html</w:t>
        </w:r>
      </w:hyperlink>
      <w:r w:rsidRPr="00795CF2">
        <w:rPr>
          <w:rFonts w:ascii="Times New Roman" w:hAnsi="Times New Roman" w:cs="Times New Roman"/>
          <w:lang w:val="en-US"/>
        </w:rPr>
        <w:t>.</w:t>
      </w:r>
    </w:p>
  </w:footnote>
  <w:footnote w:id="35">
    <w:p w:rsidR="00A57446" w:rsidRPr="00542FDB" w:rsidRDefault="00A57446" w:rsidP="00715F5B">
      <w:pPr>
        <w:pStyle w:val="Textodenotaderodap"/>
        <w:rPr>
          <w:rFonts w:ascii="Times New Roman" w:hAnsi="Times New Roman" w:cs="Times New Roman"/>
        </w:rPr>
      </w:pPr>
      <w:r w:rsidRPr="00542FDB">
        <w:rPr>
          <w:rStyle w:val="Refdenotaderodap"/>
          <w:rFonts w:ascii="Times New Roman" w:hAnsi="Times New Roman" w:cs="Times New Roman"/>
        </w:rPr>
        <w:footnoteRef/>
      </w:r>
      <w:r w:rsidRPr="00542FDB">
        <w:rPr>
          <w:rFonts w:ascii="Times New Roman" w:hAnsi="Times New Roman" w:cs="Times New Roman"/>
        </w:rPr>
        <w:t xml:space="preserve"> Ver </w:t>
      </w:r>
      <w:hyperlink r:id="rId11" w:history="1">
        <w:r w:rsidRPr="00542FDB">
          <w:rPr>
            <w:rStyle w:val="Hyperlink"/>
            <w:rFonts w:ascii="Times New Roman" w:hAnsi="Times New Roman" w:cs="Times New Roman"/>
          </w:rPr>
          <w:t>http://www.butanol.com/index.html</w:t>
        </w:r>
      </w:hyperlink>
      <w:r w:rsidRPr="00542FDB">
        <w:rPr>
          <w:rFonts w:ascii="Times New Roman" w:hAnsi="Times New Roman" w:cs="Times New Roman"/>
        </w:rPr>
        <w:t>.</w:t>
      </w:r>
    </w:p>
  </w:footnote>
  <w:footnote w:id="36">
    <w:p w:rsidR="00A57446" w:rsidRPr="003158FD" w:rsidRDefault="00A57446" w:rsidP="00715F5B">
      <w:pPr>
        <w:pStyle w:val="Textodenotaderodap"/>
        <w:rPr>
          <w:rFonts w:ascii="Times New Roman" w:hAnsi="Times New Roman" w:cs="Times New Roman"/>
        </w:rPr>
      </w:pPr>
      <w:r w:rsidRPr="003158FD">
        <w:rPr>
          <w:rStyle w:val="Refdenotaderodap"/>
          <w:rFonts w:ascii="Times New Roman" w:hAnsi="Times New Roman" w:cs="Times New Roman"/>
        </w:rPr>
        <w:footnoteRef/>
      </w:r>
      <w:r w:rsidRPr="003158FD">
        <w:rPr>
          <w:rFonts w:ascii="Times New Roman" w:hAnsi="Times New Roman" w:cs="Times New Roman"/>
        </w:rPr>
        <w:t xml:space="preserve"> Poderiam ser adicionados outros alcoóis, como etanol e propanol.</w:t>
      </w:r>
    </w:p>
  </w:footnote>
  <w:footnote w:id="37">
    <w:p w:rsidR="00A57446" w:rsidRPr="00481867" w:rsidRDefault="00A57446" w:rsidP="00715F5B">
      <w:pPr>
        <w:pStyle w:val="Textodenotaderodap"/>
        <w:rPr>
          <w:rFonts w:ascii="Times New Roman" w:hAnsi="Times New Roman" w:cs="Times New Roman"/>
        </w:rPr>
      </w:pPr>
      <w:r w:rsidRPr="00481867">
        <w:rPr>
          <w:rStyle w:val="Refdenotaderodap"/>
          <w:rFonts w:ascii="Times New Roman" w:hAnsi="Times New Roman" w:cs="Times New Roman"/>
        </w:rPr>
        <w:footnoteRef/>
      </w:r>
      <w:r w:rsidRPr="00481867">
        <w:rPr>
          <w:rFonts w:ascii="Times New Roman" w:hAnsi="Times New Roman" w:cs="Times New Roman"/>
        </w:rPr>
        <w:t xml:space="preserve"> </w:t>
      </w:r>
      <w:r w:rsidRPr="00E86CE8">
        <w:rPr>
          <w:rFonts w:ascii="Times New Roman" w:hAnsi="Times New Roman" w:cs="Times New Roman"/>
        </w:rPr>
        <w:t xml:space="preserve">Este </w:t>
      </w:r>
      <w:r w:rsidRPr="00E86CE8">
        <w:rPr>
          <w:rFonts w:ascii="Times New Roman" w:hAnsi="Times New Roman" w:cs="Times New Roman"/>
          <w:i/>
        </w:rPr>
        <w:t>waiver</w:t>
      </w:r>
      <w:r w:rsidRPr="00E86CE8">
        <w:rPr>
          <w:rFonts w:ascii="Times New Roman" w:hAnsi="Times New Roman" w:cs="Times New Roman"/>
        </w:rPr>
        <w:t xml:space="preserve"> foi recentemente modificado pela EPA, que permitiu o uso de um inibidor de corrosão alternativo para a mistura de gasolina e álcool comercializada pela empresa, mediante testes e comentários externos, afirmando que “essa ação deve proporcionar flexibilidade adicional à comunidade regulada”</w:t>
      </w:r>
      <w:r>
        <w:rPr>
          <w:rFonts w:ascii="Times New Roman" w:hAnsi="Times New Roman" w:cs="Times New Roman"/>
        </w:rPr>
        <w:t xml:space="preserve"> (</w:t>
      </w:r>
      <w:hyperlink r:id="rId12" w:history="1">
        <w:r w:rsidRPr="00481867">
          <w:rPr>
            <w:rStyle w:val="Hyperlink"/>
            <w:rFonts w:ascii="Times New Roman" w:hAnsi="Times New Roman" w:cs="Times New Roman"/>
          </w:rPr>
          <w:t>http://www.epa.gov/otaq/fuels/registrationfuels/documents/420f12026.pdf</w:t>
        </w:r>
      </w:hyperlink>
      <w:r>
        <w:rPr>
          <w:rFonts w:ascii="Times New Roman" w:hAnsi="Times New Roman" w:cs="Times New Roman"/>
        </w:rPr>
        <w:t>).</w:t>
      </w:r>
    </w:p>
  </w:footnote>
  <w:footnote w:id="38">
    <w:p w:rsidR="00A57446" w:rsidRPr="001515E9" w:rsidRDefault="00A57446" w:rsidP="00715F5B">
      <w:pPr>
        <w:pStyle w:val="Textodenotaderodap"/>
        <w:rPr>
          <w:rFonts w:ascii="Times New Roman" w:hAnsi="Times New Roman" w:cs="Times New Roman"/>
        </w:rPr>
      </w:pPr>
      <w:r w:rsidRPr="001515E9">
        <w:rPr>
          <w:rStyle w:val="Refdenotaderodap"/>
          <w:rFonts w:ascii="Times New Roman" w:hAnsi="Times New Roman" w:cs="Times New Roman"/>
        </w:rPr>
        <w:footnoteRef/>
      </w:r>
      <w:r w:rsidRPr="001515E9">
        <w:rPr>
          <w:rFonts w:ascii="Times New Roman" w:hAnsi="Times New Roman" w:cs="Times New Roman"/>
        </w:rPr>
        <w:t xml:space="preserve"> As funções e objetivos do CNPE são descritos na seção seguinte.</w:t>
      </w:r>
    </w:p>
  </w:footnote>
  <w:footnote w:id="39">
    <w:p w:rsidR="00A57446" w:rsidRPr="00B5253D" w:rsidRDefault="00A57446" w:rsidP="00715F5B">
      <w:pPr>
        <w:pStyle w:val="Textodenotaderodap"/>
        <w:rPr>
          <w:rFonts w:ascii="Times New Roman" w:hAnsi="Times New Roman" w:cs="Times New Roman"/>
        </w:rPr>
      </w:pPr>
      <w:r w:rsidRPr="00B5253D">
        <w:rPr>
          <w:rStyle w:val="Refdenotaderodap"/>
          <w:rFonts w:ascii="Times New Roman" w:hAnsi="Times New Roman" w:cs="Times New Roman"/>
        </w:rPr>
        <w:footnoteRef/>
      </w:r>
      <w:r w:rsidRPr="00B5253D">
        <w:rPr>
          <w:rFonts w:ascii="Times New Roman" w:hAnsi="Times New Roman" w:cs="Times New Roman"/>
        </w:rPr>
        <w:t xml:space="preserve"> O debate acerca da garantia de abastecimento de etanol no mercado interno levou à inclusão do seguinte Parágrafo à Lei nº 9.478/97:</w:t>
      </w:r>
    </w:p>
    <w:p w:rsidR="00A57446" w:rsidRPr="00B5253D" w:rsidRDefault="00A57446" w:rsidP="00715F5B">
      <w:pPr>
        <w:pStyle w:val="Textodenotaderodap"/>
        <w:rPr>
          <w:rFonts w:ascii="Times New Roman" w:hAnsi="Times New Roman" w:cs="Times New Roman"/>
        </w:rPr>
      </w:pPr>
      <w:r>
        <w:rPr>
          <w:rFonts w:ascii="Times New Roman" w:hAnsi="Times New Roman" w:cs="Times New Roman"/>
        </w:rPr>
        <w:t>“</w:t>
      </w:r>
      <w:r w:rsidRPr="00B5253D">
        <w:rPr>
          <w:rFonts w:ascii="Times New Roman" w:hAnsi="Times New Roman" w:cs="Times New Roman"/>
        </w:rPr>
        <w:t>No exercício das atribuições de que trata este artigo, com ênfase na garantia do abastecimento nacional de combustíveis, desde que em bases econômicas sustentáveis, a ANP poderá exigir dos agentes regulados, conforme disposto em regulamento: I - a manutenção de estoques mínimos de combustíveis e de biocombustíveis, em instalação própria ou de terceiro;</w:t>
      </w:r>
      <w:r>
        <w:rPr>
          <w:rFonts w:ascii="Times New Roman" w:hAnsi="Times New Roman" w:cs="Times New Roman"/>
        </w:rPr>
        <w:t xml:space="preserve"> </w:t>
      </w:r>
      <w:r w:rsidRPr="00B5253D">
        <w:rPr>
          <w:rFonts w:ascii="Times New Roman" w:hAnsi="Times New Roman" w:cs="Times New Roman"/>
        </w:rPr>
        <w:t>II - garantias e comprovação de capacidade para atendimento ao mercado de combustíveis e biocombustíveis, mediante a apresentação de, entre outros mecanismos, contratos de fornecime</w:t>
      </w:r>
      <w:r>
        <w:rPr>
          <w:rFonts w:ascii="Times New Roman" w:hAnsi="Times New Roman" w:cs="Times New Roman"/>
        </w:rPr>
        <w:t>nto entre os agentes regulados” (Art. 5º da Lei nº 12.490/2011).</w:t>
      </w:r>
    </w:p>
  </w:footnote>
  <w:footnote w:id="40">
    <w:p w:rsidR="00A57446" w:rsidRPr="002D074E" w:rsidRDefault="00A57446" w:rsidP="00715F5B">
      <w:pPr>
        <w:pStyle w:val="Textodenotaderodap"/>
        <w:rPr>
          <w:rFonts w:ascii="Times New Roman" w:hAnsi="Times New Roman" w:cs="Times New Roman"/>
        </w:rPr>
      </w:pPr>
      <w:r w:rsidRPr="002D074E">
        <w:rPr>
          <w:rStyle w:val="Refdenotaderodap"/>
          <w:rFonts w:ascii="Times New Roman" w:hAnsi="Times New Roman" w:cs="Times New Roman"/>
        </w:rPr>
        <w:footnoteRef/>
      </w:r>
      <w:r w:rsidRPr="002D074E">
        <w:rPr>
          <w:rFonts w:ascii="Times New Roman" w:hAnsi="Times New Roman" w:cs="Times New Roman"/>
        </w:rPr>
        <w:t xml:space="preserve"> Info</w:t>
      </w:r>
      <w:r>
        <w:rPr>
          <w:rFonts w:ascii="Times New Roman" w:hAnsi="Times New Roman" w:cs="Times New Roman"/>
        </w:rPr>
        <w:t>rmações obtidas da própria página</w:t>
      </w:r>
      <w:r w:rsidRPr="002D074E">
        <w:rPr>
          <w:rFonts w:ascii="Times New Roman" w:hAnsi="Times New Roman" w:cs="Times New Roman"/>
        </w:rPr>
        <w:t xml:space="preserve"> do MME na internet: www.mme.gov.br.</w:t>
      </w:r>
    </w:p>
  </w:footnote>
  <w:footnote w:id="41">
    <w:p w:rsidR="00A57446" w:rsidRPr="0087193A" w:rsidRDefault="00A57446" w:rsidP="00715F5B">
      <w:pPr>
        <w:pStyle w:val="Textodenotaderodap"/>
        <w:rPr>
          <w:rFonts w:ascii="Times New Roman" w:hAnsi="Times New Roman" w:cs="Times New Roman"/>
        </w:rPr>
      </w:pPr>
      <w:r w:rsidRPr="0087193A">
        <w:rPr>
          <w:rStyle w:val="Refdenotaderodap"/>
          <w:rFonts w:ascii="Times New Roman" w:hAnsi="Times New Roman" w:cs="Times New Roman"/>
        </w:rPr>
        <w:footnoteRef/>
      </w:r>
      <w:r w:rsidRPr="0087193A">
        <w:rPr>
          <w:rFonts w:ascii="Times New Roman" w:hAnsi="Times New Roman" w:cs="Times New Roman"/>
        </w:rPr>
        <w:t xml:space="preserve"> A EPE é uma empresa vinculada ao MME, que tem por objetivo realizar estudos e pesquisas que sirvam de apoio para o planejamento do setor energético.</w:t>
      </w:r>
    </w:p>
  </w:footnote>
  <w:footnote w:id="42">
    <w:p w:rsidR="00A57446" w:rsidRPr="00E54BDF" w:rsidRDefault="00A57446" w:rsidP="00715F5B">
      <w:pPr>
        <w:pStyle w:val="Textodenotaderodap"/>
        <w:rPr>
          <w:rFonts w:ascii="Times New Roman" w:hAnsi="Times New Roman" w:cs="Times New Roman"/>
        </w:rPr>
      </w:pPr>
      <w:r w:rsidRPr="00E54BDF">
        <w:rPr>
          <w:rStyle w:val="Refdenotaderodap"/>
          <w:rFonts w:ascii="Times New Roman" w:hAnsi="Times New Roman" w:cs="Times New Roman"/>
        </w:rPr>
        <w:footnoteRef/>
      </w:r>
      <w:r w:rsidRPr="00E54BDF">
        <w:rPr>
          <w:rFonts w:ascii="Times New Roman" w:hAnsi="Times New Roman" w:cs="Times New Roman"/>
        </w:rPr>
        <w:t xml:space="preserve"> Texto de referência “Biocombustíveis como vetor do Desenvolvimento Sustentável”</w:t>
      </w:r>
      <w:r>
        <w:rPr>
          <w:rFonts w:ascii="Times New Roman" w:hAnsi="Times New Roman" w:cs="Times New Roman"/>
        </w:rPr>
        <w:t>, preparado pelo BNDES/CGEE para I sessão plenária da Conferência Internacional sobre Biocombustíveis (2008).</w:t>
      </w:r>
    </w:p>
  </w:footnote>
  <w:footnote w:id="43">
    <w:p w:rsidR="00A57446" w:rsidRPr="00EA7E93" w:rsidRDefault="00A57446" w:rsidP="00715F5B">
      <w:pPr>
        <w:pStyle w:val="Textodenotaderodap"/>
        <w:rPr>
          <w:rFonts w:ascii="Times New Roman" w:hAnsi="Times New Roman" w:cs="Times New Roman"/>
        </w:rPr>
      </w:pPr>
      <w:r w:rsidRPr="00EA7E93">
        <w:rPr>
          <w:rStyle w:val="Refdenotaderodap"/>
          <w:rFonts w:ascii="Times New Roman" w:hAnsi="Times New Roman" w:cs="Times New Roman"/>
        </w:rPr>
        <w:footnoteRef/>
      </w:r>
      <w:r w:rsidRPr="00EA7E93">
        <w:rPr>
          <w:rFonts w:ascii="Times New Roman" w:hAnsi="Times New Roman" w:cs="Times New Roman"/>
        </w:rPr>
        <w:t xml:space="preserve"> Seção “Tendências do</w:t>
      </w:r>
      <w:r w:rsidRPr="00EA7E93">
        <w:rPr>
          <w:rFonts w:ascii="Times New Roman" w:hAnsi="Times New Roman" w:cs="Times New Roman"/>
        </w:rPr>
        <w:softHyphen/>
        <w:t xml:space="preserve"> Desenvolvimento Tecnológico” do PNE 2030 – Combustíveis Líquidos.</w:t>
      </w:r>
    </w:p>
  </w:footnote>
  <w:footnote w:id="44">
    <w:p w:rsidR="00A57446" w:rsidRPr="003B2E22" w:rsidRDefault="00A57446" w:rsidP="00715F5B">
      <w:pPr>
        <w:pStyle w:val="Textodenotaderodap"/>
        <w:rPr>
          <w:rFonts w:ascii="Times New Roman" w:hAnsi="Times New Roman" w:cs="Times New Roman"/>
        </w:rPr>
      </w:pPr>
      <w:r w:rsidRPr="003B2E22">
        <w:rPr>
          <w:rStyle w:val="Refdenotaderodap"/>
          <w:rFonts w:ascii="Times New Roman" w:hAnsi="Times New Roman" w:cs="Times New Roman"/>
        </w:rPr>
        <w:footnoteRef/>
      </w:r>
      <w:r w:rsidRPr="003B2E22">
        <w:rPr>
          <w:rFonts w:ascii="Times New Roman" w:hAnsi="Times New Roman" w:cs="Times New Roman"/>
        </w:rPr>
        <w:t xml:space="preserve"> Note que o PDE 2020 prevê que a demanda atingirá esse patamar em 2020. </w:t>
      </w:r>
    </w:p>
  </w:footnote>
  <w:footnote w:id="45">
    <w:p w:rsidR="00A57446" w:rsidRPr="00CB0148" w:rsidRDefault="00A57446" w:rsidP="00715F5B">
      <w:pPr>
        <w:pStyle w:val="Textodenotaderodap"/>
        <w:rPr>
          <w:rFonts w:ascii="Times New Roman" w:hAnsi="Times New Roman" w:cs="Times New Roman"/>
          <w:lang w:val="pt-PT"/>
        </w:rPr>
      </w:pPr>
      <w:r w:rsidRPr="00CB0148">
        <w:rPr>
          <w:rStyle w:val="Refdenotaderodap"/>
          <w:rFonts w:ascii="Times New Roman" w:hAnsi="Times New Roman" w:cs="Times New Roman"/>
        </w:rPr>
        <w:footnoteRef/>
      </w:r>
      <w:r w:rsidRPr="00CB0148">
        <w:rPr>
          <w:rFonts w:ascii="Times New Roman" w:hAnsi="Times New Roman" w:cs="Times New Roman"/>
        </w:rPr>
        <w:t xml:space="preserve"> </w:t>
      </w:r>
      <w:r w:rsidRPr="00CB0148">
        <w:rPr>
          <w:rFonts w:ascii="Times New Roman" w:hAnsi="Times New Roman" w:cs="Times New Roman"/>
          <w:lang w:val="pt-PT"/>
        </w:rPr>
        <w:t>A Política estabeleceu quatro macrometas: 1) atingir taxa de investimento equivalente a 21% do PIB; 2) aumentar os investimentos privados em P&amp;D para 0,65% do PIB; 3) atingir participação de 1,25% no total das exportações mundiais; e 4) ampliar o número de micro e pequenas empresas exportadoras para 12.971, frente a 11.792 em 2006.</w:t>
      </w:r>
    </w:p>
  </w:footnote>
  <w:footnote w:id="46">
    <w:p w:rsidR="00A57446" w:rsidRPr="00946B92" w:rsidRDefault="00A57446" w:rsidP="00715F5B">
      <w:pPr>
        <w:pStyle w:val="Textodenotaderodap"/>
        <w:rPr>
          <w:rFonts w:ascii="Times New Roman" w:hAnsi="Times New Roman" w:cs="Times New Roman"/>
          <w:lang w:val="pt-PT"/>
        </w:rPr>
      </w:pPr>
      <w:r w:rsidRPr="00946B92">
        <w:rPr>
          <w:rStyle w:val="Refdenotaderodap"/>
          <w:rFonts w:ascii="Times New Roman" w:hAnsi="Times New Roman" w:cs="Times New Roman"/>
        </w:rPr>
        <w:footnoteRef/>
      </w:r>
      <w:r w:rsidRPr="00946B92">
        <w:rPr>
          <w:rFonts w:ascii="Times New Roman" w:hAnsi="Times New Roman" w:cs="Times New Roman"/>
        </w:rPr>
        <w:t xml:space="preserve"> </w:t>
      </w:r>
      <w:r w:rsidRPr="00946B92">
        <w:rPr>
          <w:rFonts w:ascii="Times New Roman" w:hAnsi="Times New Roman" w:cs="Times New Roman"/>
          <w:lang w:val="pt-PT"/>
        </w:rPr>
        <w:t xml:space="preserve">Centro de Pesquisas Leopoldo Américo Miguez de Mello, responsável pelas atividades de P&amp;D e engenharia básica da Petrobras. </w:t>
      </w:r>
    </w:p>
  </w:footnote>
  <w:footnote w:id="47">
    <w:p w:rsidR="00A57446" w:rsidRPr="00F14C8D" w:rsidRDefault="00A57446" w:rsidP="00715F5B">
      <w:pPr>
        <w:pStyle w:val="Textodenotaderodap"/>
        <w:rPr>
          <w:rFonts w:ascii="Times New Roman" w:hAnsi="Times New Roman" w:cs="Times New Roman"/>
        </w:rPr>
      </w:pPr>
      <w:r w:rsidRPr="00F14C8D">
        <w:rPr>
          <w:rStyle w:val="Refdenotaderodap"/>
          <w:rFonts w:ascii="Times New Roman" w:hAnsi="Times New Roman" w:cs="Times New Roman"/>
        </w:rPr>
        <w:footnoteRef/>
      </w:r>
      <w:r>
        <w:rPr>
          <w:rFonts w:ascii="Times New Roman" w:hAnsi="Times New Roman" w:cs="Times New Roman"/>
        </w:rPr>
        <w:t xml:space="preserve"> Lei Federal Nº 12.187/</w:t>
      </w:r>
      <w:r w:rsidRPr="00F14C8D">
        <w:rPr>
          <w:rFonts w:ascii="Times New Roman" w:hAnsi="Times New Roman" w:cs="Times New Roman"/>
        </w:rPr>
        <w:t>09.</w:t>
      </w:r>
    </w:p>
  </w:footnote>
  <w:footnote w:id="48">
    <w:p w:rsidR="00A57446" w:rsidRPr="007139B2" w:rsidRDefault="00A57446" w:rsidP="00715F5B">
      <w:pPr>
        <w:pStyle w:val="Textodenotaderodap"/>
        <w:rPr>
          <w:rFonts w:ascii="Times New Roman" w:hAnsi="Times New Roman" w:cs="Times New Roman"/>
          <w:lang w:val="pt-PT"/>
        </w:rPr>
      </w:pPr>
      <w:r w:rsidRPr="007139B2">
        <w:rPr>
          <w:rStyle w:val="Refdenotaderodap"/>
          <w:rFonts w:ascii="Times New Roman" w:hAnsi="Times New Roman" w:cs="Times New Roman"/>
        </w:rPr>
        <w:footnoteRef/>
      </w:r>
      <w:r w:rsidRPr="007139B2">
        <w:rPr>
          <w:rFonts w:ascii="Times New Roman" w:hAnsi="Times New Roman" w:cs="Times New Roman"/>
        </w:rPr>
        <w:t xml:space="preserve"> </w:t>
      </w:r>
      <w:r w:rsidRPr="007139B2">
        <w:rPr>
          <w:rFonts w:ascii="Times New Roman" w:hAnsi="Times New Roman" w:cs="Times New Roman"/>
          <w:lang w:val="pt-PT"/>
        </w:rPr>
        <w:t>Segunda Comunicação Nacional do Brasil à Convenção-Quadro das Nações Unidas sobre Mudança do Clima.</w:t>
      </w:r>
    </w:p>
  </w:footnote>
  <w:footnote w:id="49">
    <w:p w:rsidR="00A57446" w:rsidRPr="00356A48" w:rsidRDefault="00A57446" w:rsidP="00715F5B">
      <w:pPr>
        <w:pStyle w:val="Textodenotaderodap"/>
        <w:rPr>
          <w:rFonts w:ascii="Times New Roman" w:hAnsi="Times New Roman" w:cs="Times New Roman"/>
        </w:rPr>
      </w:pPr>
      <w:r w:rsidRPr="00356A48">
        <w:rPr>
          <w:rStyle w:val="Refdenotaderodap"/>
          <w:rFonts w:ascii="Times New Roman" w:hAnsi="Times New Roman" w:cs="Times New Roman"/>
        </w:rPr>
        <w:footnoteRef/>
      </w:r>
      <w:r w:rsidRPr="00356A48">
        <w:rPr>
          <w:rFonts w:ascii="Times New Roman" w:hAnsi="Times New Roman" w:cs="Times New Roman"/>
        </w:rPr>
        <w:t xml:space="preserve"> </w:t>
      </w:r>
      <w:r>
        <w:rPr>
          <w:rFonts w:ascii="Times New Roman" w:hAnsi="Times New Roman" w:cs="Times New Roman"/>
          <w:lang w:val="pt-PT"/>
        </w:rPr>
        <w:t>Lei Municipal Nº 14.933, de</w:t>
      </w:r>
      <w:r w:rsidRPr="00356A48">
        <w:rPr>
          <w:rFonts w:ascii="Times New Roman" w:hAnsi="Times New Roman" w:cs="Times New Roman"/>
          <w:lang w:val="pt-PT"/>
        </w:rPr>
        <w:t xml:space="preserve"> 05/06/2009.</w:t>
      </w:r>
    </w:p>
  </w:footnote>
  <w:footnote w:id="50">
    <w:p w:rsidR="00A57446" w:rsidRPr="00CC503F" w:rsidRDefault="00A57446" w:rsidP="00715F5B">
      <w:pPr>
        <w:pStyle w:val="Textodenotaderodap"/>
        <w:rPr>
          <w:rFonts w:ascii="Times New Roman" w:hAnsi="Times New Roman" w:cs="Times New Roman"/>
        </w:rPr>
      </w:pPr>
      <w:r w:rsidRPr="00CC503F">
        <w:rPr>
          <w:rStyle w:val="Refdenotaderodap"/>
          <w:rFonts w:ascii="Times New Roman" w:hAnsi="Times New Roman" w:cs="Times New Roman"/>
        </w:rPr>
        <w:footnoteRef/>
      </w:r>
      <w:r w:rsidRPr="00CC503F">
        <w:rPr>
          <w:rFonts w:ascii="Times New Roman" w:hAnsi="Times New Roman" w:cs="Times New Roman"/>
        </w:rPr>
        <w:t xml:space="preserve"> Decreto Nº 43.216, de 30/09/2011, que regulamenta a Lei</w:t>
      </w:r>
      <w:r>
        <w:rPr>
          <w:rFonts w:ascii="Times New Roman" w:hAnsi="Times New Roman" w:cs="Times New Roman"/>
        </w:rPr>
        <w:t xml:space="preserve"> Estadual</w:t>
      </w:r>
      <w:r w:rsidRPr="00CC503F">
        <w:rPr>
          <w:rFonts w:ascii="Times New Roman" w:hAnsi="Times New Roman" w:cs="Times New Roman"/>
        </w:rPr>
        <w:t xml:space="preserve"> Nº 5.690, de 14/04/2010.</w:t>
      </w:r>
    </w:p>
  </w:footnote>
  <w:footnote w:id="51">
    <w:p w:rsidR="00A57446" w:rsidRPr="009A4130" w:rsidRDefault="00A57446" w:rsidP="00715F5B">
      <w:pPr>
        <w:pStyle w:val="Textodenotaderodap"/>
        <w:rPr>
          <w:rFonts w:ascii="Times New Roman" w:hAnsi="Times New Roman" w:cs="Times New Roman"/>
        </w:rPr>
      </w:pPr>
      <w:r w:rsidRPr="009A4130">
        <w:rPr>
          <w:rStyle w:val="Refdenotaderodap"/>
          <w:rFonts w:ascii="Times New Roman" w:hAnsi="Times New Roman" w:cs="Times New Roman"/>
        </w:rPr>
        <w:footnoteRef/>
      </w:r>
      <w:r w:rsidRPr="009A4130">
        <w:rPr>
          <w:rFonts w:ascii="Times New Roman" w:hAnsi="Times New Roman" w:cs="Times New Roman"/>
        </w:rPr>
        <w:t xml:space="preserve"> MAN</w:t>
      </w:r>
      <w:r>
        <w:rPr>
          <w:rFonts w:ascii="Times New Roman" w:hAnsi="Times New Roman" w:cs="Times New Roman"/>
        </w:rPr>
        <w:t>-LA</w:t>
      </w:r>
      <w:r w:rsidRPr="009A4130">
        <w:rPr>
          <w:rFonts w:ascii="Times New Roman" w:hAnsi="Times New Roman" w:cs="Times New Roman"/>
        </w:rPr>
        <w:t xml:space="preserve"> e Scania monitoram o des</w:t>
      </w:r>
      <w:r>
        <w:rPr>
          <w:rFonts w:ascii="Times New Roman" w:hAnsi="Times New Roman" w:cs="Times New Roman"/>
        </w:rPr>
        <w:t>empenho do novo combustível em três</w:t>
      </w:r>
      <w:r w:rsidRPr="009A4130">
        <w:rPr>
          <w:rFonts w:ascii="Times New Roman" w:hAnsi="Times New Roman" w:cs="Times New Roman"/>
        </w:rPr>
        <w:t xml:space="preserve"> ônibus, cada. O período de testes da Scania é de 12 meses e os resultados sobre consumo, desempenho e emissões deverão ser reportados à ANP.</w:t>
      </w:r>
    </w:p>
  </w:footnote>
  <w:footnote w:id="52">
    <w:p w:rsidR="00A57446" w:rsidRPr="00F427FD" w:rsidRDefault="00A57446" w:rsidP="00715F5B">
      <w:pPr>
        <w:pStyle w:val="Textodenotaderodap"/>
        <w:rPr>
          <w:rFonts w:ascii="Times New Roman" w:hAnsi="Times New Roman" w:cs="Times New Roman"/>
        </w:rPr>
      </w:pPr>
      <w:r w:rsidRPr="00F427FD">
        <w:rPr>
          <w:rStyle w:val="Refdenotaderodap"/>
          <w:rFonts w:ascii="Times New Roman" w:hAnsi="Times New Roman" w:cs="Times New Roman"/>
        </w:rPr>
        <w:footnoteRef/>
      </w:r>
      <w:r>
        <w:rPr>
          <w:rFonts w:ascii="Times New Roman" w:hAnsi="Times New Roman" w:cs="Times New Roman"/>
        </w:rPr>
        <w:t xml:space="preserve"> No início, a</w:t>
      </w:r>
      <w:r w:rsidRPr="00F427FD">
        <w:rPr>
          <w:rFonts w:ascii="Times New Roman" w:hAnsi="Times New Roman" w:cs="Times New Roman"/>
        </w:rPr>
        <w:t xml:space="preserve"> </w:t>
      </w:r>
      <w:r>
        <w:rPr>
          <w:rFonts w:ascii="Times New Roman" w:hAnsi="Times New Roman" w:cs="Times New Roman"/>
        </w:rPr>
        <w:t>empresa desenvolveu um método para produção de</w:t>
      </w:r>
      <w:r w:rsidRPr="00F427FD">
        <w:rPr>
          <w:rFonts w:ascii="Times New Roman" w:hAnsi="Times New Roman" w:cs="Times New Roman"/>
        </w:rPr>
        <w:t xml:space="preserve"> artemisina, utilizad</w:t>
      </w:r>
      <w:r>
        <w:rPr>
          <w:rFonts w:ascii="Times New Roman" w:hAnsi="Times New Roman" w:cs="Times New Roman"/>
        </w:rPr>
        <w:t>a no tratamento da malária</w:t>
      </w:r>
      <w:r w:rsidRPr="00F427FD">
        <w:rPr>
          <w:rFonts w:ascii="Times New Roman" w:hAnsi="Times New Roman" w:cs="Times New Roman"/>
        </w:rPr>
        <w:t>, com recursos da Fundação Bill &amp; Melinda Gates.</w:t>
      </w:r>
    </w:p>
  </w:footnote>
  <w:footnote w:id="53">
    <w:p w:rsidR="00A57446" w:rsidRPr="00143DE6" w:rsidRDefault="00A57446" w:rsidP="00715F5B">
      <w:pPr>
        <w:pStyle w:val="Textodenotaderodap"/>
        <w:rPr>
          <w:rFonts w:ascii="Times New Roman" w:hAnsi="Times New Roman" w:cs="Times New Roman"/>
        </w:rPr>
      </w:pPr>
      <w:r w:rsidRPr="00143DE6">
        <w:rPr>
          <w:rStyle w:val="Refdenotaderodap"/>
          <w:rFonts w:ascii="Times New Roman" w:hAnsi="Times New Roman" w:cs="Times New Roman"/>
        </w:rPr>
        <w:footnoteRef/>
      </w:r>
      <w:r w:rsidRPr="00143DE6">
        <w:rPr>
          <w:rFonts w:ascii="Times New Roman" w:hAnsi="Times New Roman" w:cs="Times New Roman"/>
        </w:rPr>
        <w:t xml:space="preserve"> Informações obtidas da própria página da empresa na internet: </w:t>
      </w:r>
      <w:hyperlink r:id="rId13" w:history="1">
        <w:r w:rsidRPr="007A78E7">
          <w:rPr>
            <w:rStyle w:val="Hyperlink"/>
            <w:rFonts w:ascii="Times New Roman" w:hAnsi="Times New Roman" w:cs="Times New Roman"/>
          </w:rPr>
          <w:t>www.amyris.com</w:t>
        </w:r>
      </w:hyperlink>
      <w:r w:rsidRPr="00143DE6">
        <w:rPr>
          <w:rFonts w:ascii="Times New Roman" w:hAnsi="Times New Roman" w:cs="Times New Roman"/>
        </w:rPr>
        <w:t>.</w:t>
      </w:r>
    </w:p>
  </w:footnote>
  <w:footnote w:id="54">
    <w:p w:rsidR="00A57446" w:rsidRPr="009326AE" w:rsidRDefault="00A57446" w:rsidP="00715F5B">
      <w:pPr>
        <w:pStyle w:val="Textodenotaderodap"/>
        <w:rPr>
          <w:rFonts w:ascii="Times New Roman" w:hAnsi="Times New Roman" w:cs="Times New Roman"/>
        </w:rPr>
      </w:pPr>
      <w:r w:rsidRPr="009326AE">
        <w:rPr>
          <w:rStyle w:val="Refdenotaderodap"/>
          <w:rFonts w:ascii="Times New Roman" w:hAnsi="Times New Roman" w:cs="Times New Roman"/>
        </w:rPr>
        <w:footnoteRef/>
      </w:r>
      <w:r w:rsidRPr="009326AE">
        <w:rPr>
          <w:rFonts w:ascii="Times New Roman" w:hAnsi="Times New Roman" w:cs="Times New Roman"/>
        </w:rPr>
        <w:t xml:space="preserve"> É importante notar que essas regras fazem parte de uma minuta que serviu de base para discussões entre a agência e as partes interessadas no processo de consulta e audiência públicas, realizado entre março e maio de 2012.</w:t>
      </w:r>
      <w:r>
        <w:rPr>
          <w:rFonts w:ascii="Times New Roman" w:hAnsi="Times New Roman" w:cs="Times New Roman"/>
        </w:rPr>
        <w:t xml:space="preserve"> Portanto, não refletem o novo regulamento, uma vez que comentários e sugestões podem ainda ter sido incorporados.</w:t>
      </w:r>
      <w:r w:rsidRPr="009326AE">
        <w:rPr>
          <w:rFonts w:ascii="Times New Roman" w:hAnsi="Times New Roman" w:cs="Times New Roman"/>
        </w:rPr>
        <w:t xml:space="preserve"> No site da agência é possível ter acesso aos comentários feitos pelos agentes econômicos.</w:t>
      </w:r>
    </w:p>
  </w:footnote>
  <w:footnote w:id="55">
    <w:p w:rsidR="00A57446" w:rsidRPr="002C1AE9" w:rsidRDefault="00A57446" w:rsidP="00715F5B">
      <w:pPr>
        <w:pStyle w:val="Textodenotaderodap"/>
        <w:rPr>
          <w:rFonts w:ascii="Times New Roman" w:hAnsi="Times New Roman" w:cs="Times New Roman"/>
          <w:lang w:val="pt-PT"/>
        </w:rPr>
      </w:pPr>
      <w:r w:rsidRPr="002C1AE9">
        <w:rPr>
          <w:rStyle w:val="Refdenotaderodap"/>
          <w:rFonts w:ascii="Times New Roman" w:hAnsi="Times New Roman" w:cs="Times New Roman"/>
        </w:rPr>
        <w:footnoteRef/>
      </w:r>
      <w:r w:rsidRPr="002C1AE9">
        <w:rPr>
          <w:rFonts w:ascii="Times New Roman" w:hAnsi="Times New Roman" w:cs="Times New Roman"/>
        </w:rPr>
        <w:t xml:space="preserve"> </w:t>
      </w:r>
      <w:r w:rsidRPr="002C1AE9">
        <w:rPr>
          <w:rFonts w:ascii="Times New Roman" w:hAnsi="Times New Roman" w:cs="Times New Roman"/>
          <w:lang w:val="pt-PT"/>
        </w:rPr>
        <w:t>Lei Nº 9.478/1997, Art. 1º, inciso XIII</w:t>
      </w:r>
      <w:r>
        <w:rPr>
          <w:rFonts w:ascii="Times New Roman" w:hAnsi="Times New Roman" w:cs="Times New Roman"/>
          <w:lang w:val="pt-PT"/>
        </w:rPr>
        <w:t>.</w:t>
      </w:r>
    </w:p>
  </w:footnote>
  <w:footnote w:id="56">
    <w:p w:rsidR="00A57446" w:rsidRPr="004416C3" w:rsidRDefault="00A57446" w:rsidP="00715F5B">
      <w:pPr>
        <w:pStyle w:val="Textodenotaderodap"/>
        <w:rPr>
          <w:rFonts w:ascii="Times New Roman" w:hAnsi="Times New Roman" w:cs="Times New Roman"/>
          <w:lang w:val="pt-PT"/>
        </w:rPr>
      </w:pPr>
      <w:r w:rsidRPr="004416C3">
        <w:rPr>
          <w:rStyle w:val="Refdenotaderodap"/>
          <w:rFonts w:ascii="Times New Roman" w:hAnsi="Times New Roman" w:cs="Times New Roman"/>
        </w:rPr>
        <w:footnoteRef/>
      </w:r>
      <w:r w:rsidRPr="004416C3">
        <w:rPr>
          <w:rFonts w:ascii="Times New Roman" w:hAnsi="Times New Roman" w:cs="Times New Roman"/>
        </w:rPr>
        <w:t xml:space="preserve"> </w:t>
      </w:r>
      <w:r w:rsidRPr="004416C3">
        <w:rPr>
          <w:rFonts w:ascii="Times New Roman" w:hAnsi="Times New Roman" w:cs="Times New Roman"/>
          <w:lang w:val="pt-PT"/>
        </w:rPr>
        <w:t>Inciso VI do Art. 3º</w:t>
      </w:r>
      <w:r>
        <w:rPr>
          <w:rFonts w:ascii="Times New Roman" w:hAnsi="Times New Roman" w:cs="Times New Roman"/>
          <w:lang w:val="pt-PT"/>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446" w:rsidRDefault="00A57446">
    <w:pPr>
      <w:pStyle w:val="Cabealho"/>
      <w:jc w:val="right"/>
    </w:pPr>
  </w:p>
  <w:p w:rsidR="00A57446" w:rsidRDefault="00A57446">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53827"/>
      <w:docPartObj>
        <w:docPartGallery w:val="Page Numbers (Top of Page)"/>
        <w:docPartUnique/>
      </w:docPartObj>
    </w:sdtPr>
    <w:sdtEndPr>
      <w:rPr>
        <w:rFonts w:ascii="Times New Roman" w:hAnsi="Times New Roman" w:cs="Times New Roman"/>
        <w:sz w:val="18"/>
        <w:szCs w:val="18"/>
      </w:rPr>
    </w:sdtEndPr>
    <w:sdtContent>
      <w:p w:rsidR="00A57446" w:rsidRDefault="00EE56DA">
        <w:pPr>
          <w:pStyle w:val="Cabealho"/>
          <w:jc w:val="right"/>
        </w:pPr>
        <w:r w:rsidRPr="00097609">
          <w:rPr>
            <w:rFonts w:ascii="Times New Roman" w:hAnsi="Times New Roman" w:cs="Times New Roman"/>
            <w:sz w:val="20"/>
            <w:szCs w:val="20"/>
          </w:rPr>
          <w:fldChar w:fldCharType="begin"/>
        </w:r>
        <w:r w:rsidR="00A57446" w:rsidRPr="00097609">
          <w:rPr>
            <w:rFonts w:ascii="Times New Roman" w:hAnsi="Times New Roman" w:cs="Times New Roman"/>
            <w:sz w:val="20"/>
            <w:szCs w:val="20"/>
          </w:rPr>
          <w:instrText xml:space="preserve"> PAGE   \* MERGEFORMAT </w:instrText>
        </w:r>
        <w:r w:rsidRPr="00097609">
          <w:rPr>
            <w:rFonts w:ascii="Times New Roman" w:hAnsi="Times New Roman" w:cs="Times New Roman"/>
            <w:sz w:val="20"/>
            <w:szCs w:val="20"/>
          </w:rPr>
          <w:fldChar w:fldCharType="separate"/>
        </w:r>
        <w:r w:rsidR="004522F6">
          <w:rPr>
            <w:rFonts w:ascii="Times New Roman" w:hAnsi="Times New Roman" w:cs="Times New Roman"/>
            <w:noProof/>
            <w:sz w:val="20"/>
            <w:szCs w:val="20"/>
          </w:rPr>
          <w:t>131</w:t>
        </w:r>
        <w:r w:rsidRPr="00097609">
          <w:rPr>
            <w:rFonts w:ascii="Times New Roman" w:hAnsi="Times New Roman" w:cs="Times New Roman"/>
            <w:sz w:val="20"/>
            <w:szCs w:val="20"/>
          </w:rPr>
          <w:fldChar w:fldCharType="end"/>
        </w:r>
      </w:p>
    </w:sdtContent>
  </w:sdt>
  <w:p w:rsidR="00A57446" w:rsidRDefault="00A5744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785C"/>
    <w:multiLevelType w:val="hybridMultilevel"/>
    <w:tmpl w:val="B42808D0"/>
    <w:lvl w:ilvl="0" w:tplc="017E8CEC">
      <w:start w:val="1"/>
      <w:numFmt w:val="bullet"/>
      <w:lvlText w:val=""/>
      <w:lvlJc w:val="left"/>
      <w:pPr>
        <w:ind w:left="720" w:hanging="360"/>
      </w:pPr>
      <w:rPr>
        <w:rFonts w:ascii="Wingdings" w:eastAsiaTheme="minorHAns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E515CFA"/>
    <w:multiLevelType w:val="hybridMultilevel"/>
    <w:tmpl w:val="5568DE92"/>
    <w:lvl w:ilvl="0" w:tplc="368E2C7E">
      <w:start w:val="2"/>
      <w:numFmt w:val="bullet"/>
      <w:lvlText w:val=""/>
      <w:lvlJc w:val="left"/>
      <w:pPr>
        <w:ind w:left="720" w:hanging="360"/>
      </w:pPr>
      <w:rPr>
        <w:rFonts w:ascii="Wingdings" w:eastAsiaTheme="minorHAns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0A95476"/>
    <w:multiLevelType w:val="hybridMultilevel"/>
    <w:tmpl w:val="00DEAB1C"/>
    <w:lvl w:ilvl="0" w:tplc="FAB8233E">
      <w:start w:val="5"/>
      <w:numFmt w:val="bullet"/>
      <w:lvlText w:val=""/>
      <w:lvlJc w:val="left"/>
      <w:pPr>
        <w:ind w:left="720" w:hanging="360"/>
      </w:pPr>
      <w:rPr>
        <w:rFonts w:ascii="Wingdings" w:eastAsiaTheme="minorHAnsi" w:hAnsi="Wingdings"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3541400"/>
    <w:multiLevelType w:val="hybridMultilevel"/>
    <w:tmpl w:val="EDFEED12"/>
    <w:lvl w:ilvl="0" w:tplc="CA641B68">
      <w:start w:val="3"/>
      <w:numFmt w:val="bullet"/>
      <w:lvlText w:val=""/>
      <w:lvlJc w:val="left"/>
      <w:pPr>
        <w:ind w:left="720" w:hanging="360"/>
      </w:pPr>
      <w:rPr>
        <w:rFonts w:ascii="Wingdings" w:eastAsiaTheme="minorHAns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7343A0F"/>
    <w:multiLevelType w:val="hybridMultilevel"/>
    <w:tmpl w:val="1A56C080"/>
    <w:lvl w:ilvl="0" w:tplc="C1046A16">
      <w:start w:val="1"/>
      <w:numFmt w:val="bullet"/>
      <w:lvlText w:val=""/>
      <w:lvlJc w:val="left"/>
      <w:pPr>
        <w:ind w:left="720" w:hanging="360"/>
      </w:pPr>
      <w:rPr>
        <w:rFonts w:ascii="Wingdings" w:eastAsiaTheme="minorHAns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C9C290D"/>
    <w:multiLevelType w:val="hybridMultilevel"/>
    <w:tmpl w:val="3BA23B50"/>
    <w:lvl w:ilvl="0" w:tplc="FAB8233E">
      <w:start w:val="5"/>
      <w:numFmt w:val="bullet"/>
      <w:lvlText w:val=""/>
      <w:lvlJc w:val="left"/>
      <w:pPr>
        <w:ind w:left="720" w:hanging="360"/>
      </w:pPr>
      <w:rPr>
        <w:rFonts w:ascii="Wingdings" w:eastAsiaTheme="minorHAnsi" w:hAnsi="Wingdings" w:cstheme="minorBidi" w:hint="default"/>
      </w:rPr>
    </w:lvl>
    <w:lvl w:ilvl="1" w:tplc="04160001">
      <w:start w:val="1"/>
      <w:numFmt w:val="bullet"/>
      <w:lvlText w:val=""/>
      <w:lvlJc w:val="left"/>
      <w:pPr>
        <w:ind w:left="1440" w:hanging="360"/>
      </w:pPr>
      <w:rPr>
        <w:rFonts w:ascii="Symbol" w:hAnsi="Symbol" w:hint="default"/>
      </w:rPr>
    </w:lvl>
    <w:lvl w:ilvl="2" w:tplc="04160005">
      <w:start w:val="1"/>
      <w:numFmt w:val="bullet"/>
      <w:lvlText w:val=""/>
      <w:lvlJc w:val="left"/>
      <w:pPr>
        <w:ind w:left="2160" w:hanging="180"/>
      </w:pPr>
      <w:rPr>
        <w:rFonts w:ascii="Wingdings" w:hAnsi="Wingdings" w:hint="default"/>
      </w:rPr>
    </w:lvl>
    <w:lvl w:ilvl="3" w:tplc="0416000F">
      <w:start w:val="1"/>
      <w:numFmt w:val="decimal"/>
      <w:lvlText w:val="%4."/>
      <w:lvlJc w:val="left"/>
      <w:pPr>
        <w:ind w:left="2880" w:hanging="360"/>
      </w:pPr>
    </w:lvl>
    <w:lvl w:ilvl="4" w:tplc="D2F6C1A6">
      <w:start w:val="3"/>
      <w:numFmt w:val="bullet"/>
      <w:lvlText w:val=""/>
      <w:lvlJc w:val="left"/>
      <w:pPr>
        <w:ind w:left="3600" w:hanging="360"/>
      </w:pPr>
      <w:rPr>
        <w:rFonts w:ascii="Wingdings" w:eastAsiaTheme="minorHAnsi" w:hAnsi="Wingdings" w:cstheme="minorBidi"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FB55EE2"/>
    <w:multiLevelType w:val="hybridMultilevel"/>
    <w:tmpl w:val="3AEA8D24"/>
    <w:lvl w:ilvl="0" w:tplc="C7E674B8">
      <w:start w:val="4"/>
      <w:numFmt w:val="decimal"/>
      <w:lvlText w:val="%1."/>
      <w:lvlJc w:val="left"/>
      <w:pPr>
        <w:tabs>
          <w:tab w:val="num" w:pos="1200"/>
        </w:tabs>
        <w:ind w:left="1200" w:hanging="360"/>
      </w:pPr>
      <w:rPr>
        <w:rFonts w:hint="default"/>
      </w:rPr>
    </w:lvl>
    <w:lvl w:ilvl="1" w:tplc="04160019" w:tentative="1">
      <w:start w:val="1"/>
      <w:numFmt w:val="lowerLetter"/>
      <w:lvlText w:val="%2."/>
      <w:lvlJc w:val="left"/>
      <w:pPr>
        <w:tabs>
          <w:tab w:val="num" w:pos="1920"/>
        </w:tabs>
        <w:ind w:left="1920" w:hanging="360"/>
      </w:pPr>
    </w:lvl>
    <w:lvl w:ilvl="2" w:tplc="0416001B" w:tentative="1">
      <w:start w:val="1"/>
      <w:numFmt w:val="lowerRoman"/>
      <w:lvlText w:val="%3."/>
      <w:lvlJc w:val="right"/>
      <w:pPr>
        <w:tabs>
          <w:tab w:val="num" w:pos="2640"/>
        </w:tabs>
        <w:ind w:left="2640" w:hanging="180"/>
      </w:pPr>
    </w:lvl>
    <w:lvl w:ilvl="3" w:tplc="0416000F" w:tentative="1">
      <w:start w:val="1"/>
      <w:numFmt w:val="decimal"/>
      <w:lvlText w:val="%4."/>
      <w:lvlJc w:val="left"/>
      <w:pPr>
        <w:tabs>
          <w:tab w:val="num" w:pos="3360"/>
        </w:tabs>
        <w:ind w:left="3360" w:hanging="360"/>
      </w:pPr>
    </w:lvl>
    <w:lvl w:ilvl="4" w:tplc="04160019" w:tentative="1">
      <w:start w:val="1"/>
      <w:numFmt w:val="lowerLetter"/>
      <w:lvlText w:val="%5."/>
      <w:lvlJc w:val="left"/>
      <w:pPr>
        <w:tabs>
          <w:tab w:val="num" w:pos="4080"/>
        </w:tabs>
        <w:ind w:left="4080" w:hanging="360"/>
      </w:pPr>
    </w:lvl>
    <w:lvl w:ilvl="5" w:tplc="0416001B" w:tentative="1">
      <w:start w:val="1"/>
      <w:numFmt w:val="lowerRoman"/>
      <w:lvlText w:val="%6."/>
      <w:lvlJc w:val="right"/>
      <w:pPr>
        <w:tabs>
          <w:tab w:val="num" w:pos="4800"/>
        </w:tabs>
        <w:ind w:left="4800" w:hanging="180"/>
      </w:pPr>
    </w:lvl>
    <w:lvl w:ilvl="6" w:tplc="0416000F" w:tentative="1">
      <w:start w:val="1"/>
      <w:numFmt w:val="decimal"/>
      <w:lvlText w:val="%7."/>
      <w:lvlJc w:val="left"/>
      <w:pPr>
        <w:tabs>
          <w:tab w:val="num" w:pos="5520"/>
        </w:tabs>
        <w:ind w:left="5520" w:hanging="360"/>
      </w:pPr>
    </w:lvl>
    <w:lvl w:ilvl="7" w:tplc="04160019" w:tentative="1">
      <w:start w:val="1"/>
      <w:numFmt w:val="lowerLetter"/>
      <w:lvlText w:val="%8."/>
      <w:lvlJc w:val="left"/>
      <w:pPr>
        <w:tabs>
          <w:tab w:val="num" w:pos="6240"/>
        </w:tabs>
        <w:ind w:left="6240" w:hanging="360"/>
      </w:pPr>
    </w:lvl>
    <w:lvl w:ilvl="8" w:tplc="0416001B" w:tentative="1">
      <w:start w:val="1"/>
      <w:numFmt w:val="lowerRoman"/>
      <w:lvlText w:val="%9."/>
      <w:lvlJc w:val="right"/>
      <w:pPr>
        <w:tabs>
          <w:tab w:val="num" w:pos="6960"/>
        </w:tabs>
        <w:ind w:left="6960" w:hanging="180"/>
      </w:pPr>
    </w:lvl>
  </w:abstractNum>
  <w:abstractNum w:abstractNumId="7">
    <w:nsid w:val="39B76D43"/>
    <w:multiLevelType w:val="hybridMultilevel"/>
    <w:tmpl w:val="4FF284F0"/>
    <w:lvl w:ilvl="0" w:tplc="FAB8233E">
      <w:start w:val="3"/>
      <w:numFmt w:val="bullet"/>
      <w:lvlText w:val=""/>
      <w:lvlJc w:val="left"/>
      <w:pPr>
        <w:ind w:left="720" w:hanging="360"/>
      </w:pPr>
      <w:rPr>
        <w:rFonts w:ascii="Wingdings" w:eastAsiaTheme="minorHAnsi" w:hAnsi="Wingdings"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A271715"/>
    <w:multiLevelType w:val="hybridMultilevel"/>
    <w:tmpl w:val="044C2BD4"/>
    <w:lvl w:ilvl="0" w:tplc="AD9A79EE">
      <w:numFmt w:val="bullet"/>
      <w:lvlText w:val=""/>
      <w:lvlJc w:val="left"/>
      <w:pPr>
        <w:ind w:left="720" w:hanging="360"/>
      </w:pPr>
      <w:rPr>
        <w:rFonts w:ascii="Wingdings" w:eastAsiaTheme="minorHAns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AFB7E09"/>
    <w:multiLevelType w:val="hybridMultilevel"/>
    <w:tmpl w:val="B330BF90"/>
    <w:lvl w:ilvl="0" w:tplc="4C32738E">
      <w:start w:val="1"/>
      <w:numFmt w:val="bullet"/>
      <w:lvlText w:val=""/>
      <w:lvlJc w:val="left"/>
      <w:pPr>
        <w:ind w:left="1068" w:hanging="360"/>
      </w:pPr>
      <w:rPr>
        <w:rFonts w:ascii="Wingdings" w:eastAsiaTheme="minorHAnsi" w:hAnsi="Wingdings"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0">
    <w:nsid w:val="487B5035"/>
    <w:multiLevelType w:val="hybridMultilevel"/>
    <w:tmpl w:val="6AF6DA02"/>
    <w:lvl w:ilvl="0" w:tplc="1B8291AE">
      <w:start w:val="1"/>
      <w:numFmt w:val="bullet"/>
      <w:lvlText w:val=""/>
      <w:lvlJc w:val="left"/>
      <w:pPr>
        <w:ind w:left="720" w:hanging="360"/>
      </w:pPr>
      <w:rPr>
        <w:rFonts w:ascii="Wingdings" w:eastAsiaTheme="minorHAns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A8F02CE"/>
    <w:multiLevelType w:val="hybridMultilevel"/>
    <w:tmpl w:val="AAD8CA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BC21F07"/>
    <w:multiLevelType w:val="hybridMultilevel"/>
    <w:tmpl w:val="17B6F010"/>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3">
    <w:nsid w:val="4F3E4D51"/>
    <w:multiLevelType w:val="hybridMultilevel"/>
    <w:tmpl w:val="C8C017A0"/>
    <w:lvl w:ilvl="0" w:tplc="A490C62A">
      <w:start w:val="2"/>
      <w:numFmt w:val="bullet"/>
      <w:lvlText w:val=""/>
      <w:lvlJc w:val="left"/>
      <w:pPr>
        <w:ind w:left="1068" w:hanging="360"/>
      </w:pPr>
      <w:rPr>
        <w:rFonts w:ascii="Wingdings" w:eastAsiaTheme="minorHAnsi" w:hAnsi="Wingdings"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4">
    <w:nsid w:val="519D2C89"/>
    <w:multiLevelType w:val="hybridMultilevel"/>
    <w:tmpl w:val="C71AB09E"/>
    <w:lvl w:ilvl="0" w:tplc="FA1EF4B0">
      <w:start w:val="3"/>
      <w:numFmt w:val="bullet"/>
      <w:lvlText w:val=""/>
      <w:lvlJc w:val="left"/>
      <w:pPr>
        <w:ind w:left="1068" w:hanging="360"/>
      </w:pPr>
      <w:rPr>
        <w:rFonts w:ascii="Wingdings" w:eastAsiaTheme="minorHAnsi" w:hAnsi="Wingdings"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5">
    <w:nsid w:val="5B5751B1"/>
    <w:multiLevelType w:val="hybridMultilevel"/>
    <w:tmpl w:val="7D8E3232"/>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656519AD"/>
    <w:multiLevelType w:val="hybridMultilevel"/>
    <w:tmpl w:val="80FE0A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D1871DF"/>
    <w:multiLevelType w:val="hybridMultilevel"/>
    <w:tmpl w:val="F1C23E46"/>
    <w:lvl w:ilvl="0" w:tplc="B1A6A964">
      <w:start w:val="3"/>
      <w:numFmt w:val="bullet"/>
      <w:lvlText w:val=""/>
      <w:lvlJc w:val="left"/>
      <w:pPr>
        <w:ind w:left="720" w:hanging="360"/>
      </w:pPr>
      <w:rPr>
        <w:rFonts w:ascii="Wingdings" w:eastAsiaTheme="minorHAns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FE4521D"/>
    <w:multiLevelType w:val="hybridMultilevel"/>
    <w:tmpl w:val="ADE6020C"/>
    <w:lvl w:ilvl="0" w:tplc="0416001B">
      <w:start w:val="1"/>
      <w:numFmt w:val="lowerRoman"/>
      <w:lvlText w:val="%1."/>
      <w:lvlJc w:val="right"/>
      <w:pPr>
        <w:ind w:left="1068" w:hanging="360"/>
      </w:pPr>
      <w:rPr>
        <w:rFont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9">
    <w:nsid w:val="775E1294"/>
    <w:multiLevelType w:val="hybridMultilevel"/>
    <w:tmpl w:val="5E541796"/>
    <w:lvl w:ilvl="0" w:tplc="C1046A16">
      <w:start w:val="1"/>
      <w:numFmt w:val="bullet"/>
      <w:lvlText w:val=""/>
      <w:lvlJc w:val="left"/>
      <w:pPr>
        <w:ind w:left="720" w:hanging="360"/>
      </w:pPr>
      <w:rPr>
        <w:rFonts w:ascii="Wingdings" w:eastAsiaTheme="minorHAns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9"/>
  </w:num>
  <w:num w:numId="4">
    <w:abstractNumId w:val="10"/>
  </w:num>
  <w:num w:numId="5">
    <w:abstractNumId w:val="0"/>
  </w:num>
  <w:num w:numId="6">
    <w:abstractNumId w:val="4"/>
  </w:num>
  <w:num w:numId="7">
    <w:abstractNumId w:val="19"/>
  </w:num>
  <w:num w:numId="8">
    <w:abstractNumId w:val="12"/>
  </w:num>
  <w:num w:numId="9">
    <w:abstractNumId w:val="18"/>
  </w:num>
  <w:num w:numId="10">
    <w:abstractNumId w:val="5"/>
  </w:num>
  <w:num w:numId="11">
    <w:abstractNumId w:val="7"/>
  </w:num>
  <w:num w:numId="12">
    <w:abstractNumId w:val="2"/>
  </w:num>
  <w:num w:numId="13">
    <w:abstractNumId w:val="1"/>
  </w:num>
  <w:num w:numId="14">
    <w:abstractNumId w:val="15"/>
  </w:num>
  <w:num w:numId="15">
    <w:abstractNumId w:val="16"/>
  </w:num>
  <w:num w:numId="16">
    <w:abstractNumId w:val="3"/>
  </w:num>
  <w:num w:numId="17">
    <w:abstractNumId w:val="13"/>
  </w:num>
  <w:num w:numId="18">
    <w:abstractNumId w:val="14"/>
  </w:num>
  <w:num w:numId="19">
    <w:abstractNumId w:val="17"/>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hyphenationZone w:val="425"/>
  <w:drawingGridHorizontalSpacing w:val="110"/>
  <w:displayHorizontalDrawingGridEvery w:val="2"/>
  <w:characterSpacingControl w:val="doNotCompress"/>
  <w:hdrShapeDefaults>
    <o:shapedefaults v:ext="edit" spidmax="88066" style="mso-width-relative:margin;mso-height-relative:margin" fillcolor="white">
      <v:fill color="white"/>
      <o:colormenu v:ext="edit" shadowcolor="none" extrusioncolor="none"/>
    </o:shapedefaults>
  </w:hdrShapeDefaults>
  <w:footnotePr>
    <w:footnote w:id="-1"/>
    <w:footnote w:id="0"/>
  </w:footnotePr>
  <w:endnotePr>
    <w:endnote w:id="-1"/>
    <w:endnote w:id="0"/>
  </w:endnotePr>
  <w:compat/>
  <w:rsids>
    <w:rsidRoot w:val="00EC06C5"/>
    <w:rsid w:val="000023BD"/>
    <w:rsid w:val="000025A7"/>
    <w:rsid w:val="000026FC"/>
    <w:rsid w:val="000100BD"/>
    <w:rsid w:val="00012496"/>
    <w:rsid w:val="00012F73"/>
    <w:rsid w:val="000134D0"/>
    <w:rsid w:val="00014964"/>
    <w:rsid w:val="000150B7"/>
    <w:rsid w:val="0001545C"/>
    <w:rsid w:val="00015EE1"/>
    <w:rsid w:val="00020385"/>
    <w:rsid w:val="00020C2C"/>
    <w:rsid w:val="000229EC"/>
    <w:rsid w:val="0002395A"/>
    <w:rsid w:val="00024357"/>
    <w:rsid w:val="00027115"/>
    <w:rsid w:val="000275E2"/>
    <w:rsid w:val="00031AEB"/>
    <w:rsid w:val="00031BEC"/>
    <w:rsid w:val="0003273F"/>
    <w:rsid w:val="00032D55"/>
    <w:rsid w:val="000348D2"/>
    <w:rsid w:val="00036985"/>
    <w:rsid w:val="00037346"/>
    <w:rsid w:val="00037749"/>
    <w:rsid w:val="0004175B"/>
    <w:rsid w:val="000419AF"/>
    <w:rsid w:val="00042314"/>
    <w:rsid w:val="000436A2"/>
    <w:rsid w:val="00043F8F"/>
    <w:rsid w:val="000454D7"/>
    <w:rsid w:val="0004697D"/>
    <w:rsid w:val="00047316"/>
    <w:rsid w:val="00047BC6"/>
    <w:rsid w:val="00047CEF"/>
    <w:rsid w:val="000500D2"/>
    <w:rsid w:val="00050905"/>
    <w:rsid w:val="00051601"/>
    <w:rsid w:val="000522C6"/>
    <w:rsid w:val="00055081"/>
    <w:rsid w:val="00057E4C"/>
    <w:rsid w:val="00060D9F"/>
    <w:rsid w:val="0006112E"/>
    <w:rsid w:val="00063473"/>
    <w:rsid w:val="000638B0"/>
    <w:rsid w:val="00063A10"/>
    <w:rsid w:val="00063C4E"/>
    <w:rsid w:val="00064919"/>
    <w:rsid w:val="000654DA"/>
    <w:rsid w:val="00065A0A"/>
    <w:rsid w:val="000667C1"/>
    <w:rsid w:val="0007053F"/>
    <w:rsid w:val="0007083F"/>
    <w:rsid w:val="00070BC9"/>
    <w:rsid w:val="000712B6"/>
    <w:rsid w:val="00071352"/>
    <w:rsid w:val="00071585"/>
    <w:rsid w:val="00073D1C"/>
    <w:rsid w:val="00076725"/>
    <w:rsid w:val="00080245"/>
    <w:rsid w:val="000806E0"/>
    <w:rsid w:val="000811FE"/>
    <w:rsid w:val="00081C16"/>
    <w:rsid w:val="000823AE"/>
    <w:rsid w:val="00082D56"/>
    <w:rsid w:val="00085583"/>
    <w:rsid w:val="00086061"/>
    <w:rsid w:val="00086495"/>
    <w:rsid w:val="00087029"/>
    <w:rsid w:val="0009243C"/>
    <w:rsid w:val="00093D1F"/>
    <w:rsid w:val="000942FC"/>
    <w:rsid w:val="000956BA"/>
    <w:rsid w:val="000957C0"/>
    <w:rsid w:val="00096BB3"/>
    <w:rsid w:val="00097472"/>
    <w:rsid w:val="00097609"/>
    <w:rsid w:val="000A1427"/>
    <w:rsid w:val="000A197C"/>
    <w:rsid w:val="000A36FA"/>
    <w:rsid w:val="000A3BDC"/>
    <w:rsid w:val="000A4FCF"/>
    <w:rsid w:val="000A591C"/>
    <w:rsid w:val="000A595C"/>
    <w:rsid w:val="000A670C"/>
    <w:rsid w:val="000A7C7E"/>
    <w:rsid w:val="000B18D2"/>
    <w:rsid w:val="000B1E3B"/>
    <w:rsid w:val="000B22D2"/>
    <w:rsid w:val="000B539D"/>
    <w:rsid w:val="000B5DB6"/>
    <w:rsid w:val="000B7259"/>
    <w:rsid w:val="000B743A"/>
    <w:rsid w:val="000B7678"/>
    <w:rsid w:val="000B7733"/>
    <w:rsid w:val="000C08CA"/>
    <w:rsid w:val="000C1ED7"/>
    <w:rsid w:val="000C3651"/>
    <w:rsid w:val="000C3689"/>
    <w:rsid w:val="000C6325"/>
    <w:rsid w:val="000C7C82"/>
    <w:rsid w:val="000D0C2A"/>
    <w:rsid w:val="000D1AD3"/>
    <w:rsid w:val="000E30FE"/>
    <w:rsid w:val="000E4348"/>
    <w:rsid w:val="000E4BE9"/>
    <w:rsid w:val="000E5D61"/>
    <w:rsid w:val="000F1E67"/>
    <w:rsid w:val="000F37EA"/>
    <w:rsid w:val="000F3918"/>
    <w:rsid w:val="000F3E1D"/>
    <w:rsid w:val="000F4842"/>
    <w:rsid w:val="000F63E7"/>
    <w:rsid w:val="000F67C6"/>
    <w:rsid w:val="000F7F02"/>
    <w:rsid w:val="001002EB"/>
    <w:rsid w:val="00100699"/>
    <w:rsid w:val="001038DD"/>
    <w:rsid w:val="0010691F"/>
    <w:rsid w:val="00107A31"/>
    <w:rsid w:val="00107DE4"/>
    <w:rsid w:val="001106C3"/>
    <w:rsid w:val="001107D4"/>
    <w:rsid w:val="00111517"/>
    <w:rsid w:val="00111D2F"/>
    <w:rsid w:val="00115675"/>
    <w:rsid w:val="001200FD"/>
    <w:rsid w:val="001202F2"/>
    <w:rsid w:val="00120CA9"/>
    <w:rsid w:val="00123088"/>
    <w:rsid w:val="0012422D"/>
    <w:rsid w:val="00124ACF"/>
    <w:rsid w:val="00124C2A"/>
    <w:rsid w:val="001255E2"/>
    <w:rsid w:val="00125B07"/>
    <w:rsid w:val="001269A1"/>
    <w:rsid w:val="001274CF"/>
    <w:rsid w:val="00127A51"/>
    <w:rsid w:val="00132622"/>
    <w:rsid w:val="00132A2B"/>
    <w:rsid w:val="00132C9D"/>
    <w:rsid w:val="0013349E"/>
    <w:rsid w:val="00134B8C"/>
    <w:rsid w:val="001352BA"/>
    <w:rsid w:val="00137623"/>
    <w:rsid w:val="001407D9"/>
    <w:rsid w:val="00141532"/>
    <w:rsid w:val="001415AC"/>
    <w:rsid w:val="00142D2C"/>
    <w:rsid w:val="00142DA8"/>
    <w:rsid w:val="00143634"/>
    <w:rsid w:val="00143DE6"/>
    <w:rsid w:val="00146198"/>
    <w:rsid w:val="00146308"/>
    <w:rsid w:val="001465EC"/>
    <w:rsid w:val="00146A65"/>
    <w:rsid w:val="00146D45"/>
    <w:rsid w:val="00146FFB"/>
    <w:rsid w:val="00147377"/>
    <w:rsid w:val="00147472"/>
    <w:rsid w:val="001500AC"/>
    <w:rsid w:val="00153D9E"/>
    <w:rsid w:val="001552E4"/>
    <w:rsid w:val="001559F3"/>
    <w:rsid w:val="00156268"/>
    <w:rsid w:val="00156DC0"/>
    <w:rsid w:val="00157EBF"/>
    <w:rsid w:val="001608F3"/>
    <w:rsid w:val="00160D1F"/>
    <w:rsid w:val="0016321C"/>
    <w:rsid w:val="00164C13"/>
    <w:rsid w:val="00165EB8"/>
    <w:rsid w:val="00166EE6"/>
    <w:rsid w:val="00167CFB"/>
    <w:rsid w:val="00167F3F"/>
    <w:rsid w:val="001711B9"/>
    <w:rsid w:val="00172C5D"/>
    <w:rsid w:val="00173024"/>
    <w:rsid w:val="00175461"/>
    <w:rsid w:val="00176558"/>
    <w:rsid w:val="00176596"/>
    <w:rsid w:val="00177B19"/>
    <w:rsid w:val="00180ABE"/>
    <w:rsid w:val="0018150F"/>
    <w:rsid w:val="001824F3"/>
    <w:rsid w:val="00183916"/>
    <w:rsid w:val="00183B95"/>
    <w:rsid w:val="00184B5A"/>
    <w:rsid w:val="001861BE"/>
    <w:rsid w:val="00186816"/>
    <w:rsid w:val="00187CB8"/>
    <w:rsid w:val="00190A5E"/>
    <w:rsid w:val="001913E1"/>
    <w:rsid w:val="00193C6B"/>
    <w:rsid w:val="00194CBE"/>
    <w:rsid w:val="00197BA6"/>
    <w:rsid w:val="001A019B"/>
    <w:rsid w:val="001A07FA"/>
    <w:rsid w:val="001A198C"/>
    <w:rsid w:val="001A2955"/>
    <w:rsid w:val="001A35D5"/>
    <w:rsid w:val="001A5570"/>
    <w:rsid w:val="001A5E3D"/>
    <w:rsid w:val="001A618A"/>
    <w:rsid w:val="001B22AC"/>
    <w:rsid w:val="001B3E2A"/>
    <w:rsid w:val="001B5C0B"/>
    <w:rsid w:val="001B778F"/>
    <w:rsid w:val="001C0091"/>
    <w:rsid w:val="001C0381"/>
    <w:rsid w:val="001C09D9"/>
    <w:rsid w:val="001C1FE8"/>
    <w:rsid w:val="001C3132"/>
    <w:rsid w:val="001C380D"/>
    <w:rsid w:val="001C3ADD"/>
    <w:rsid w:val="001C3F34"/>
    <w:rsid w:val="001C5963"/>
    <w:rsid w:val="001C5DB1"/>
    <w:rsid w:val="001C70DB"/>
    <w:rsid w:val="001D035E"/>
    <w:rsid w:val="001D0D4C"/>
    <w:rsid w:val="001D1736"/>
    <w:rsid w:val="001D1DC6"/>
    <w:rsid w:val="001D1F54"/>
    <w:rsid w:val="001D3C0C"/>
    <w:rsid w:val="001D3C4C"/>
    <w:rsid w:val="001D43EE"/>
    <w:rsid w:val="001D4716"/>
    <w:rsid w:val="001D48F8"/>
    <w:rsid w:val="001E0D92"/>
    <w:rsid w:val="001E1079"/>
    <w:rsid w:val="001E132A"/>
    <w:rsid w:val="001E30BF"/>
    <w:rsid w:val="001E35F6"/>
    <w:rsid w:val="001E3712"/>
    <w:rsid w:val="001E3CF3"/>
    <w:rsid w:val="001E409D"/>
    <w:rsid w:val="001E4AB1"/>
    <w:rsid w:val="001E619C"/>
    <w:rsid w:val="001E628B"/>
    <w:rsid w:val="001E645A"/>
    <w:rsid w:val="001E6E8C"/>
    <w:rsid w:val="001E6F24"/>
    <w:rsid w:val="001F2F92"/>
    <w:rsid w:val="001F4DA0"/>
    <w:rsid w:val="001F565B"/>
    <w:rsid w:val="001F583B"/>
    <w:rsid w:val="001F6C97"/>
    <w:rsid w:val="001F6E97"/>
    <w:rsid w:val="00204F63"/>
    <w:rsid w:val="002051A7"/>
    <w:rsid w:val="002064EB"/>
    <w:rsid w:val="00207CD7"/>
    <w:rsid w:val="00210129"/>
    <w:rsid w:val="00211E58"/>
    <w:rsid w:val="002127EB"/>
    <w:rsid w:val="00213B3A"/>
    <w:rsid w:val="00215BC6"/>
    <w:rsid w:val="00216BE5"/>
    <w:rsid w:val="00217C62"/>
    <w:rsid w:val="00217CEB"/>
    <w:rsid w:val="00221095"/>
    <w:rsid w:val="00222C2C"/>
    <w:rsid w:val="00224848"/>
    <w:rsid w:val="00225DF1"/>
    <w:rsid w:val="00230FBB"/>
    <w:rsid w:val="0023297C"/>
    <w:rsid w:val="00233DA3"/>
    <w:rsid w:val="00234944"/>
    <w:rsid w:val="00234BA2"/>
    <w:rsid w:val="00235019"/>
    <w:rsid w:val="002355A0"/>
    <w:rsid w:val="00235650"/>
    <w:rsid w:val="00235B6E"/>
    <w:rsid w:val="0023702B"/>
    <w:rsid w:val="00240CA5"/>
    <w:rsid w:val="00240F9B"/>
    <w:rsid w:val="00241AAF"/>
    <w:rsid w:val="00241D8A"/>
    <w:rsid w:val="00242636"/>
    <w:rsid w:val="00243922"/>
    <w:rsid w:val="00245F31"/>
    <w:rsid w:val="002462BC"/>
    <w:rsid w:val="002466C6"/>
    <w:rsid w:val="002467EF"/>
    <w:rsid w:val="00252A99"/>
    <w:rsid w:val="0025374B"/>
    <w:rsid w:val="002556E4"/>
    <w:rsid w:val="00255AF6"/>
    <w:rsid w:val="00255ED3"/>
    <w:rsid w:val="00256591"/>
    <w:rsid w:val="00256CD7"/>
    <w:rsid w:val="00260214"/>
    <w:rsid w:val="00261276"/>
    <w:rsid w:val="00261A02"/>
    <w:rsid w:val="00263821"/>
    <w:rsid w:val="00263E05"/>
    <w:rsid w:val="00264F53"/>
    <w:rsid w:val="00265B71"/>
    <w:rsid w:val="00265BE5"/>
    <w:rsid w:val="0026642D"/>
    <w:rsid w:val="002702A4"/>
    <w:rsid w:val="00270CC6"/>
    <w:rsid w:val="00273581"/>
    <w:rsid w:val="00275052"/>
    <w:rsid w:val="00277A91"/>
    <w:rsid w:val="00277B5C"/>
    <w:rsid w:val="002811F7"/>
    <w:rsid w:val="00282B2B"/>
    <w:rsid w:val="00282DD8"/>
    <w:rsid w:val="00284621"/>
    <w:rsid w:val="00285C9C"/>
    <w:rsid w:val="00286902"/>
    <w:rsid w:val="00291112"/>
    <w:rsid w:val="002959B7"/>
    <w:rsid w:val="002A0BFE"/>
    <w:rsid w:val="002A1383"/>
    <w:rsid w:val="002A2D82"/>
    <w:rsid w:val="002A401F"/>
    <w:rsid w:val="002A5505"/>
    <w:rsid w:val="002A568D"/>
    <w:rsid w:val="002A76F6"/>
    <w:rsid w:val="002B0A5F"/>
    <w:rsid w:val="002B1BBB"/>
    <w:rsid w:val="002B6141"/>
    <w:rsid w:val="002C1AE9"/>
    <w:rsid w:val="002D074E"/>
    <w:rsid w:val="002D09CC"/>
    <w:rsid w:val="002D297E"/>
    <w:rsid w:val="002D3F5D"/>
    <w:rsid w:val="002D402B"/>
    <w:rsid w:val="002D46A1"/>
    <w:rsid w:val="002E075B"/>
    <w:rsid w:val="002E1894"/>
    <w:rsid w:val="002E2171"/>
    <w:rsid w:val="002E24CC"/>
    <w:rsid w:val="002E386B"/>
    <w:rsid w:val="002E3E05"/>
    <w:rsid w:val="002E3E15"/>
    <w:rsid w:val="002E5531"/>
    <w:rsid w:val="002E6034"/>
    <w:rsid w:val="002E6059"/>
    <w:rsid w:val="002F44FE"/>
    <w:rsid w:val="002F4C9C"/>
    <w:rsid w:val="002F5DB3"/>
    <w:rsid w:val="002F5EC5"/>
    <w:rsid w:val="002F6889"/>
    <w:rsid w:val="002F72E3"/>
    <w:rsid w:val="0030004B"/>
    <w:rsid w:val="00301591"/>
    <w:rsid w:val="00301B51"/>
    <w:rsid w:val="00302429"/>
    <w:rsid w:val="00302E53"/>
    <w:rsid w:val="003046B9"/>
    <w:rsid w:val="00305F57"/>
    <w:rsid w:val="003063B9"/>
    <w:rsid w:val="0030696D"/>
    <w:rsid w:val="00310966"/>
    <w:rsid w:val="00310B27"/>
    <w:rsid w:val="0031106A"/>
    <w:rsid w:val="003137F5"/>
    <w:rsid w:val="00315E88"/>
    <w:rsid w:val="00316065"/>
    <w:rsid w:val="00316321"/>
    <w:rsid w:val="00316C72"/>
    <w:rsid w:val="00320653"/>
    <w:rsid w:val="00321586"/>
    <w:rsid w:val="00325F68"/>
    <w:rsid w:val="00327193"/>
    <w:rsid w:val="00330EDD"/>
    <w:rsid w:val="0033206D"/>
    <w:rsid w:val="00332117"/>
    <w:rsid w:val="00332546"/>
    <w:rsid w:val="0033387B"/>
    <w:rsid w:val="003341D7"/>
    <w:rsid w:val="003351EC"/>
    <w:rsid w:val="003356BC"/>
    <w:rsid w:val="0033731C"/>
    <w:rsid w:val="003404EA"/>
    <w:rsid w:val="00340E3C"/>
    <w:rsid w:val="00340EB3"/>
    <w:rsid w:val="00344201"/>
    <w:rsid w:val="00344D36"/>
    <w:rsid w:val="00345015"/>
    <w:rsid w:val="003452B1"/>
    <w:rsid w:val="00345341"/>
    <w:rsid w:val="00346990"/>
    <w:rsid w:val="00347CFA"/>
    <w:rsid w:val="0035043A"/>
    <w:rsid w:val="0035189D"/>
    <w:rsid w:val="00353A63"/>
    <w:rsid w:val="00353DFF"/>
    <w:rsid w:val="00355705"/>
    <w:rsid w:val="003567B4"/>
    <w:rsid w:val="003569BE"/>
    <w:rsid w:val="003577C0"/>
    <w:rsid w:val="00357E73"/>
    <w:rsid w:val="003602C9"/>
    <w:rsid w:val="00360A5F"/>
    <w:rsid w:val="00361205"/>
    <w:rsid w:val="003621F3"/>
    <w:rsid w:val="00363538"/>
    <w:rsid w:val="003651CC"/>
    <w:rsid w:val="00365CE4"/>
    <w:rsid w:val="003666D7"/>
    <w:rsid w:val="00367E42"/>
    <w:rsid w:val="003704B7"/>
    <w:rsid w:val="00371F97"/>
    <w:rsid w:val="003721D7"/>
    <w:rsid w:val="00372B1D"/>
    <w:rsid w:val="003755E3"/>
    <w:rsid w:val="0037712C"/>
    <w:rsid w:val="00377886"/>
    <w:rsid w:val="003803F4"/>
    <w:rsid w:val="00380458"/>
    <w:rsid w:val="00381FA9"/>
    <w:rsid w:val="0038274F"/>
    <w:rsid w:val="00382CEF"/>
    <w:rsid w:val="0038392D"/>
    <w:rsid w:val="003840AD"/>
    <w:rsid w:val="00384457"/>
    <w:rsid w:val="00384A7B"/>
    <w:rsid w:val="003904D8"/>
    <w:rsid w:val="00391D5C"/>
    <w:rsid w:val="00393200"/>
    <w:rsid w:val="00393ED1"/>
    <w:rsid w:val="00394277"/>
    <w:rsid w:val="003961DF"/>
    <w:rsid w:val="0039655F"/>
    <w:rsid w:val="0039663C"/>
    <w:rsid w:val="003979B4"/>
    <w:rsid w:val="00397B04"/>
    <w:rsid w:val="003A0515"/>
    <w:rsid w:val="003A0F1D"/>
    <w:rsid w:val="003A372B"/>
    <w:rsid w:val="003A64C2"/>
    <w:rsid w:val="003A7D70"/>
    <w:rsid w:val="003B10D5"/>
    <w:rsid w:val="003B1905"/>
    <w:rsid w:val="003B204A"/>
    <w:rsid w:val="003B279F"/>
    <w:rsid w:val="003B2E22"/>
    <w:rsid w:val="003B44D1"/>
    <w:rsid w:val="003B5A9E"/>
    <w:rsid w:val="003B6191"/>
    <w:rsid w:val="003C0D90"/>
    <w:rsid w:val="003C42D9"/>
    <w:rsid w:val="003C4B7D"/>
    <w:rsid w:val="003C4BA5"/>
    <w:rsid w:val="003D0217"/>
    <w:rsid w:val="003D3FF8"/>
    <w:rsid w:val="003D61A0"/>
    <w:rsid w:val="003D6888"/>
    <w:rsid w:val="003D6A07"/>
    <w:rsid w:val="003D6BF5"/>
    <w:rsid w:val="003E256C"/>
    <w:rsid w:val="003E2789"/>
    <w:rsid w:val="003E317A"/>
    <w:rsid w:val="003E4F9E"/>
    <w:rsid w:val="003E6570"/>
    <w:rsid w:val="003E66C6"/>
    <w:rsid w:val="003F0FF8"/>
    <w:rsid w:val="003F18EB"/>
    <w:rsid w:val="003F1D61"/>
    <w:rsid w:val="003F3613"/>
    <w:rsid w:val="003F39B2"/>
    <w:rsid w:val="003F3C06"/>
    <w:rsid w:val="003F4E4A"/>
    <w:rsid w:val="003F6A6C"/>
    <w:rsid w:val="003F77C9"/>
    <w:rsid w:val="003F7D09"/>
    <w:rsid w:val="0040055F"/>
    <w:rsid w:val="004051C9"/>
    <w:rsid w:val="004062B7"/>
    <w:rsid w:val="00406EE4"/>
    <w:rsid w:val="004072E4"/>
    <w:rsid w:val="00407399"/>
    <w:rsid w:val="00407554"/>
    <w:rsid w:val="0041273A"/>
    <w:rsid w:val="00413174"/>
    <w:rsid w:val="00413813"/>
    <w:rsid w:val="00413A55"/>
    <w:rsid w:val="004158A3"/>
    <w:rsid w:val="0041593D"/>
    <w:rsid w:val="00415CB8"/>
    <w:rsid w:val="00417226"/>
    <w:rsid w:val="00420082"/>
    <w:rsid w:val="00422053"/>
    <w:rsid w:val="0042254B"/>
    <w:rsid w:val="00422BF4"/>
    <w:rsid w:val="0042360A"/>
    <w:rsid w:val="00424E47"/>
    <w:rsid w:val="0042775C"/>
    <w:rsid w:val="00430C97"/>
    <w:rsid w:val="00430CE3"/>
    <w:rsid w:val="00430EA3"/>
    <w:rsid w:val="004313E0"/>
    <w:rsid w:val="004328DB"/>
    <w:rsid w:val="00433F16"/>
    <w:rsid w:val="00434AA6"/>
    <w:rsid w:val="00434AB6"/>
    <w:rsid w:val="00434BF1"/>
    <w:rsid w:val="004350B1"/>
    <w:rsid w:val="00436253"/>
    <w:rsid w:val="004370A4"/>
    <w:rsid w:val="00437752"/>
    <w:rsid w:val="00437F46"/>
    <w:rsid w:val="00441424"/>
    <w:rsid w:val="004416C3"/>
    <w:rsid w:val="00443E5C"/>
    <w:rsid w:val="00445E23"/>
    <w:rsid w:val="004478B7"/>
    <w:rsid w:val="004514E1"/>
    <w:rsid w:val="004522F6"/>
    <w:rsid w:val="00452D65"/>
    <w:rsid w:val="00453937"/>
    <w:rsid w:val="004555A8"/>
    <w:rsid w:val="004555E3"/>
    <w:rsid w:val="004576D7"/>
    <w:rsid w:val="00457A98"/>
    <w:rsid w:val="00457D45"/>
    <w:rsid w:val="00457F47"/>
    <w:rsid w:val="00461228"/>
    <w:rsid w:val="00461EAA"/>
    <w:rsid w:val="004639D0"/>
    <w:rsid w:val="00463B4A"/>
    <w:rsid w:val="00465ED6"/>
    <w:rsid w:val="004668B6"/>
    <w:rsid w:val="004670ED"/>
    <w:rsid w:val="0046739A"/>
    <w:rsid w:val="00467D71"/>
    <w:rsid w:val="00467F5F"/>
    <w:rsid w:val="00471151"/>
    <w:rsid w:val="00473B35"/>
    <w:rsid w:val="0047569D"/>
    <w:rsid w:val="004773FD"/>
    <w:rsid w:val="0047757D"/>
    <w:rsid w:val="004820D8"/>
    <w:rsid w:val="00482182"/>
    <w:rsid w:val="0048224B"/>
    <w:rsid w:val="0048319A"/>
    <w:rsid w:val="004846C6"/>
    <w:rsid w:val="00486753"/>
    <w:rsid w:val="00486DF9"/>
    <w:rsid w:val="004876F1"/>
    <w:rsid w:val="00490232"/>
    <w:rsid w:val="00490263"/>
    <w:rsid w:val="004902DC"/>
    <w:rsid w:val="00490A00"/>
    <w:rsid w:val="00491E9E"/>
    <w:rsid w:val="0049287C"/>
    <w:rsid w:val="00493F17"/>
    <w:rsid w:val="00495B99"/>
    <w:rsid w:val="004973EB"/>
    <w:rsid w:val="004979CD"/>
    <w:rsid w:val="004A229A"/>
    <w:rsid w:val="004A3120"/>
    <w:rsid w:val="004A381C"/>
    <w:rsid w:val="004A4BAD"/>
    <w:rsid w:val="004A4CD2"/>
    <w:rsid w:val="004A5B41"/>
    <w:rsid w:val="004A6D6E"/>
    <w:rsid w:val="004A76D3"/>
    <w:rsid w:val="004B24CD"/>
    <w:rsid w:val="004B25EC"/>
    <w:rsid w:val="004B2DA8"/>
    <w:rsid w:val="004B32FA"/>
    <w:rsid w:val="004B3AE3"/>
    <w:rsid w:val="004B4478"/>
    <w:rsid w:val="004B68B0"/>
    <w:rsid w:val="004B779D"/>
    <w:rsid w:val="004C0984"/>
    <w:rsid w:val="004C0B63"/>
    <w:rsid w:val="004C0F84"/>
    <w:rsid w:val="004C4BFB"/>
    <w:rsid w:val="004C5381"/>
    <w:rsid w:val="004C5AD3"/>
    <w:rsid w:val="004C6829"/>
    <w:rsid w:val="004C6D64"/>
    <w:rsid w:val="004C7495"/>
    <w:rsid w:val="004D00FE"/>
    <w:rsid w:val="004D2E0D"/>
    <w:rsid w:val="004D5C15"/>
    <w:rsid w:val="004D63ED"/>
    <w:rsid w:val="004E0577"/>
    <w:rsid w:val="004E5639"/>
    <w:rsid w:val="004E5683"/>
    <w:rsid w:val="004E5CE1"/>
    <w:rsid w:val="004E6797"/>
    <w:rsid w:val="004F03A7"/>
    <w:rsid w:val="004F080D"/>
    <w:rsid w:val="004F2833"/>
    <w:rsid w:val="004F28CD"/>
    <w:rsid w:val="004F2BC1"/>
    <w:rsid w:val="004F312C"/>
    <w:rsid w:val="004F3D5F"/>
    <w:rsid w:val="004F4B6E"/>
    <w:rsid w:val="004F4BE1"/>
    <w:rsid w:val="004F5F92"/>
    <w:rsid w:val="004F5FF0"/>
    <w:rsid w:val="004F6C65"/>
    <w:rsid w:val="00500082"/>
    <w:rsid w:val="005003DB"/>
    <w:rsid w:val="005010A7"/>
    <w:rsid w:val="005014F6"/>
    <w:rsid w:val="00501601"/>
    <w:rsid w:val="005016DA"/>
    <w:rsid w:val="00502BA3"/>
    <w:rsid w:val="0050454E"/>
    <w:rsid w:val="00505D60"/>
    <w:rsid w:val="00506188"/>
    <w:rsid w:val="005064F8"/>
    <w:rsid w:val="00511219"/>
    <w:rsid w:val="0051172A"/>
    <w:rsid w:val="00511AA3"/>
    <w:rsid w:val="00511D5C"/>
    <w:rsid w:val="00511EB6"/>
    <w:rsid w:val="00511EF7"/>
    <w:rsid w:val="00512228"/>
    <w:rsid w:val="005128E3"/>
    <w:rsid w:val="00513A01"/>
    <w:rsid w:val="0051402B"/>
    <w:rsid w:val="00515954"/>
    <w:rsid w:val="00515B65"/>
    <w:rsid w:val="00515EFA"/>
    <w:rsid w:val="00516892"/>
    <w:rsid w:val="0052118E"/>
    <w:rsid w:val="005223E2"/>
    <w:rsid w:val="00523E17"/>
    <w:rsid w:val="00524A9B"/>
    <w:rsid w:val="005267C7"/>
    <w:rsid w:val="00530BF5"/>
    <w:rsid w:val="00535119"/>
    <w:rsid w:val="005352E4"/>
    <w:rsid w:val="005356FB"/>
    <w:rsid w:val="00537819"/>
    <w:rsid w:val="0054022B"/>
    <w:rsid w:val="00540BB0"/>
    <w:rsid w:val="00541FC5"/>
    <w:rsid w:val="0054288F"/>
    <w:rsid w:val="00543F82"/>
    <w:rsid w:val="005457BB"/>
    <w:rsid w:val="00545BAF"/>
    <w:rsid w:val="00545FA8"/>
    <w:rsid w:val="00547EE1"/>
    <w:rsid w:val="00551711"/>
    <w:rsid w:val="00552AA9"/>
    <w:rsid w:val="00553BB1"/>
    <w:rsid w:val="00554EEF"/>
    <w:rsid w:val="00556008"/>
    <w:rsid w:val="0055798F"/>
    <w:rsid w:val="0056031C"/>
    <w:rsid w:val="00560325"/>
    <w:rsid w:val="00560E21"/>
    <w:rsid w:val="005626E3"/>
    <w:rsid w:val="00562F74"/>
    <w:rsid w:val="00563F57"/>
    <w:rsid w:val="005671DF"/>
    <w:rsid w:val="00570599"/>
    <w:rsid w:val="005711B4"/>
    <w:rsid w:val="00573A04"/>
    <w:rsid w:val="00577018"/>
    <w:rsid w:val="00580849"/>
    <w:rsid w:val="0058114D"/>
    <w:rsid w:val="005811F4"/>
    <w:rsid w:val="00581FC7"/>
    <w:rsid w:val="00583D42"/>
    <w:rsid w:val="00585086"/>
    <w:rsid w:val="005861D4"/>
    <w:rsid w:val="0058766C"/>
    <w:rsid w:val="005879B2"/>
    <w:rsid w:val="00587A6D"/>
    <w:rsid w:val="00590577"/>
    <w:rsid w:val="00591B00"/>
    <w:rsid w:val="0059240F"/>
    <w:rsid w:val="005A06C7"/>
    <w:rsid w:val="005A2A69"/>
    <w:rsid w:val="005A6636"/>
    <w:rsid w:val="005A6BFE"/>
    <w:rsid w:val="005A725C"/>
    <w:rsid w:val="005A7638"/>
    <w:rsid w:val="005A7C9E"/>
    <w:rsid w:val="005A7ED7"/>
    <w:rsid w:val="005B1629"/>
    <w:rsid w:val="005B2DD3"/>
    <w:rsid w:val="005B32F9"/>
    <w:rsid w:val="005B5A06"/>
    <w:rsid w:val="005B6056"/>
    <w:rsid w:val="005C252F"/>
    <w:rsid w:val="005C370E"/>
    <w:rsid w:val="005C51BF"/>
    <w:rsid w:val="005C6C86"/>
    <w:rsid w:val="005C70C9"/>
    <w:rsid w:val="005C763D"/>
    <w:rsid w:val="005C7FC7"/>
    <w:rsid w:val="005D292E"/>
    <w:rsid w:val="005D326B"/>
    <w:rsid w:val="005D3BCB"/>
    <w:rsid w:val="005D3DD5"/>
    <w:rsid w:val="005D5C92"/>
    <w:rsid w:val="005D7629"/>
    <w:rsid w:val="005D7EBA"/>
    <w:rsid w:val="005D7F7D"/>
    <w:rsid w:val="005E0CB6"/>
    <w:rsid w:val="005E6E38"/>
    <w:rsid w:val="005E74BB"/>
    <w:rsid w:val="005E7CAE"/>
    <w:rsid w:val="005F1708"/>
    <w:rsid w:val="005F252B"/>
    <w:rsid w:val="005F35CC"/>
    <w:rsid w:val="005F446E"/>
    <w:rsid w:val="00602164"/>
    <w:rsid w:val="006024FF"/>
    <w:rsid w:val="00602F34"/>
    <w:rsid w:val="00603996"/>
    <w:rsid w:val="00603C2C"/>
    <w:rsid w:val="006050D1"/>
    <w:rsid w:val="00606A92"/>
    <w:rsid w:val="0061099B"/>
    <w:rsid w:val="0061378F"/>
    <w:rsid w:val="006144D6"/>
    <w:rsid w:val="006147CF"/>
    <w:rsid w:val="0061490F"/>
    <w:rsid w:val="00614E0E"/>
    <w:rsid w:val="00616DAB"/>
    <w:rsid w:val="00622A43"/>
    <w:rsid w:val="00622F51"/>
    <w:rsid w:val="00623F3B"/>
    <w:rsid w:val="00624D63"/>
    <w:rsid w:val="00624F88"/>
    <w:rsid w:val="00625537"/>
    <w:rsid w:val="0063007B"/>
    <w:rsid w:val="00630257"/>
    <w:rsid w:val="0063025C"/>
    <w:rsid w:val="0063341B"/>
    <w:rsid w:val="006334E6"/>
    <w:rsid w:val="00633933"/>
    <w:rsid w:val="006339AA"/>
    <w:rsid w:val="006345D5"/>
    <w:rsid w:val="0063623B"/>
    <w:rsid w:val="006367CE"/>
    <w:rsid w:val="006371A8"/>
    <w:rsid w:val="0064178D"/>
    <w:rsid w:val="00641F99"/>
    <w:rsid w:val="00642AFB"/>
    <w:rsid w:val="00647A87"/>
    <w:rsid w:val="00647FA4"/>
    <w:rsid w:val="006504A5"/>
    <w:rsid w:val="00651243"/>
    <w:rsid w:val="00652D60"/>
    <w:rsid w:val="00653EBE"/>
    <w:rsid w:val="0065782F"/>
    <w:rsid w:val="006616C1"/>
    <w:rsid w:val="00661E4F"/>
    <w:rsid w:val="006620A1"/>
    <w:rsid w:val="00666760"/>
    <w:rsid w:val="0066787C"/>
    <w:rsid w:val="00667D8B"/>
    <w:rsid w:val="00670D6F"/>
    <w:rsid w:val="0067113E"/>
    <w:rsid w:val="00671692"/>
    <w:rsid w:val="00672A42"/>
    <w:rsid w:val="006757FB"/>
    <w:rsid w:val="00675B11"/>
    <w:rsid w:val="0067685D"/>
    <w:rsid w:val="00677E91"/>
    <w:rsid w:val="00680EA1"/>
    <w:rsid w:val="00680FFD"/>
    <w:rsid w:val="0068101A"/>
    <w:rsid w:val="00682693"/>
    <w:rsid w:val="006847B0"/>
    <w:rsid w:val="00684C2B"/>
    <w:rsid w:val="0068525B"/>
    <w:rsid w:val="00687271"/>
    <w:rsid w:val="00687A0E"/>
    <w:rsid w:val="0069073F"/>
    <w:rsid w:val="00691C46"/>
    <w:rsid w:val="00693FCC"/>
    <w:rsid w:val="00694F6D"/>
    <w:rsid w:val="006950DB"/>
    <w:rsid w:val="00697166"/>
    <w:rsid w:val="006971EB"/>
    <w:rsid w:val="00697876"/>
    <w:rsid w:val="006A0EAD"/>
    <w:rsid w:val="006A14F5"/>
    <w:rsid w:val="006A22F3"/>
    <w:rsid w:val="006A51CD"/>
    <w:rsid w:val="006A5646"/>
    <w:rsid w:val="006A5701"/>
    <w:rsid w:val="006A605A"/>
    <w:rsid w:val="006A6C1E"/>
    <w:rsid w:val="006A6D50"/>
    <w:rsid w:val="006A77E7"/>
    <w:rsid w:val="006B1784"/>
    <w:rsid w:val="006B2243"/>
    <w:rsid w:val="006B2711"/>
    <w:rsid w:val="006B3BAC"/>
    <w:rsid w:val="006B4E14"/>
    <w:rsid w:val="006B53EC"/>
    <w:rsid w:val="006B607F"/>
    <w:rsid w:val="006C11A9"/>
    <w:rsid w:val="006C1BF3"/>
    <w:rsid w:val="006C235C"/>
    <w:rsid w:val="006C2595"/>
    <w:rsid w:val="006C2974"/>
    <w:rsid w:val="006C2C74"/>
    <w:rsid w:val="006C347A"/>
    <w:rsid w:val="006C3E0C"/>
    <w:rsid w:val="006C437A"/>
    <w:rsid w:val="006C6C84"/>
    <w:rsid w:val="006C6C8A"/>
    <w:rsid w:val="006C7B56"/>
    <w:rsid w:val="006D040F"/>
    <w:rsid w:val="006D239E"/>
    <w:rsid w:val="006D321F"/>
    <w:rsid w:val="006D55CD"/>
    <w:rsid w:val="006E09BB"/>
    <w:rsid w:val="006E1386"/>
    <w:rsid w:val="006E1730"/>
    <w:rsid w:val="006E549A"/>
    <w:rsid w:val="006E57BD"/>
    <w:rsid w:val="006F0165"/>
    <w:rsid w:val="006F2751"/>
    <w:rsid w:val="006F30B6"/>
    <w:rsid w:val="006F3E83"/>
    <w:rsid w:val="006F4B88"/>
    <w:rsid w:val="006F7048"/>
    <w:rsid w:val="00701CCC"/>
    <w:rsid w:val="007023E5"/>
    <w:rsid w:val="00703900"/>
    <w:rsid w:val="00704659"/>
    <w:rsid w:val="007048F7"/>
    <w:rsid w:val="00704BD1"/>
    <w:rsid w:val="00705222"/>
    <w:rsid w:val="00707439"/>
    <w:rsid w:val="0071095E"/>
    <w:rsid w:val="00711E48"/>
    <w:rsid w:val="00713785"/>
    <w:rsid w:val="007143B6"/>
    <w:rsid w:val="007143FC"/>
    <w:rsid w:val="007155F1"/>
    <w:rsid w:val="00715F57"/>
    <w:rsid w:val="00715F5B"/>
    <w:rsid w:val="007165C4"/>
    <w:rsid w:val="00716A4E"/>
    <w:rsid w:val="00717FE1"/>
    <w:rsid w:val="00721C96"/>
    <w:rsid w:val="007223A5"/>
    <w:rsid w:val="007224F6"/>
    <w:rsid w:val="0072259B"/>
    <w:rsid w:val="00724FBE"/>
    <w:rsid w:val="007261B4"/>
    <w:rsid w:val="00727A7F"/>
    <w:rsid w:val="007303BD"/>
    <w:rsid w:val="007317F7"/>
    <w:rsid w:val="00731C87"/>
    <w:rsid w:val="007344AB"/>
    <w:rsid w:val="00735246"/>
    <w:rsid w:val="00740E2A"/>
    <w:rsid w:val="00741B63"/>
    <w:rsid w:val="00741F7D"/>
    <w:rsid w:val="00743238"/>
    <w:rsid w:val="007434DC"/>
    <w:rsid w:val="007466A8"/>
    <w:rsid w:val="00747EC7"/>
    <w:rsid w:val="00750225"/>
    <w:rsid w:val="00751F1E"/>
    <w:rsid w:val="007525A9"/>
    <w:rsid w:val="00752F12"/>
    <w:rsid w:val="00753BD3"/>
    <w:rsid w:val="00755432"/>
    <w:rsid w:val="007556BE"/>
    <w:rsid w:val="00755BAB"/>
    <w:rsid w:val="00756097"/>
    <w:rsid w:val="007562DB"/>
    <w:rsid w:val="00756A9D"/>
    <w:rsid w:val="00761A26"/>
    <w:rsid w:val="00762BEA"/>
    <w:rsid w:val="007639BE"/>
    <w:rsid w:val="00763D31"/>
    <w:rsid w:val="007664B1"/>
    <w:rsid w:val="0076785A"/>
    <w:rsid w:val="00767B26"/>
    <w:rsid w:val="007716D2"/>
    <w:rsid w:val="00771A82"/>
    <w:rsid w:val="007732F3"/>
    <w:rsid w:val="00773DC9"/>
    <w:rsid w:val="0077673B"/>
    <w:rsid w:val="00776A34"/>
    <w:rsid w:val="00776C07"/>
    <w:rsid w:val="00777BAD"/>
    <w:rsid w:val="00781438"/>
    <w:rsid w:val="00781AF3"/>
    <w:rsid w:val="00781D67"/>
    <w:rsid w:val="007839E2"/>
    <w:rsid w:val="00784075"/>
    <w:rsid w:val="00785C4E"/>
    <w:rsid w:val="00786B9A"/>
    <w:rsid w:val="0078763A"/>
    <w:rsid w:val="00787F34"/>
    <w:rsid w:val="00791760"/>
    <w:rsid w:val="007924FD"/>
    <w:rsid w:val="00792C6E"/>
    <w:rsid w:val="007974C6"/>
    <w:rsid w:val="007A1002"/>
    <w:rsid w:val="007A17C5"/>
    <w:rsid w:val="007A2074"/>
    <w:rsid w:val="007A20D0"/>
    <w:rsid w:val="007A2B40"/>
    <w:rsid w:val="007A340E"/>
    <w:rsid w:val="007A3AEF"/>
    <w:rsid w:val="007A60F1"/>
    <w:rsid w:val="007A624F"/>
    <w:rsid w:val="007B0825"/>
    <w:rsid w:val="007B5DFD"/>
    <w:rsid w:val="007C0F7D"/>
    <w:rsid w:val="007C134D"/>
    <w:rsid w:val="007C2424"/>
    <w:rsid w:val="007C26DB"/>
    <w:rsid w:val="007C3F9D"/>
    <w:rsid w:val="007C662C"/>
    <w:rsid w:val="007C6715"/>
    <w:rsid w:val="007C69BF"/>
    <w:rsid w:val="007D1FD1"/>
    <w:rsid w:val="007D21E3"/>
    <w:rsid w:val="007D2FA0"/>
    <w:rsid w:val="007D5D1F"/>
    <w:rsid w:val="007D6A76"/>
    <w:rsid w:val="007E104C"/>
    <w:rsid w:val="007E18E7"/>
    <w:rsid w:val="007E5B68"/>
    <w:rsid w:val="007E6182"/>
    <w:rsid w:val="007F5354"/>
    <w:rsid w:val="007F6586"/>
    <w:rsid w:val="007F74F6"/>
    <w:rsid w:val="00802DDB"/>
    <w:rsid w:val="00804870"/>
    <w:rsid w:val="00804E0E"/>
    <w:rsid w:val="00804F03"/>
    <w:rsid w:val="008102D6"/>
    <w:rsid w:val="00811D85"/>
    <w:rsid w:val="00811DE9"/>
    <w:rsid w:val="00814136"/>
    <w:rsid w:val="00815A67"/>
    <w:rsid w:val="00816A8F"/>
    <w:rsid w:val="00817236"/>
    <w:rsid w:val="00817954"/>
    <w:rsid w:val="00817D10"/>
    <w:rsid w:val="00821D68"/>
    <w:rsid w:val="00821DCE"/>
    <w:rsid w:val="00824042"/>
    <w:rsid w:val="008266B3"/>
    <w:rsid w:val="00826F9C"/>
    <w:rsid w:val="00830FE3"/>
    <w:rsid w:val="00831C97"/>
    <w:rsid w:val="00832F46"/>
    <w:rsid w:val="0083440E"/>
    <w:rsid w:val="00835126"/>
    <w:rsid w:val="00835EE7"/>
    <w:rsid w:val="00836656"/>
    <w:rsid w:val="00836C28"/>
    <w:rsid w:val="008373D6"/>
    <w:rsid w:val="00837994"/>
    <w:rsid w:val="00837E1B"/>
    <w:rsid w:val="00840996"/>
    <w:rsid w:val="008413BE"/>
    <w:rsid w:val="008422F2"/>
    <w:rsid w:val="00843F6E"/>
    <w:rsid w:val="00844FE6"/>
    <w:rsid w:val="00850CFE"/>
    <w:rsid w:val="00851540"/>
    <w:rsid w:val="00852618"/>
    <w:rsid w:val="008532BA"/>
    <w:rsid w:val="00853F82"/>
    <w:rsid w:val="00854C76"/>
    <w:rsid w:val="008563E3"/>
    <w:rsid w:val="00857B75"/>
    <w:rsid w:val="00861E86"/>
    <w:rsid w:val="00861F8C"/>
    <w:rsid w:val="008630C4"/>
    <w:rsid w:val="00863311"/>
    <w:rsid w:val="00864189"/>
    <w:rsid w:val="00864871"/>
    <w:rsid w:val="00864C27"/>
    <w:rsid w:val="008668AC"/>
    <w:rsid w:val="00867300"/>
    <w:rsid w:val="00867755"/>
    <w:rsid w:val="008701C3"/>
    <w:rsid w:val="008703C1"/>
    <w:rsid w:val="00874367"/>
    <w:rsid w:val="008756E7"/>
    <w:rsid w:val="0088373B"/>
    <w:rsid w:val="00883AE8"/>
    <w:rsid w:val="00884115"/>
    <w:rsid w:val="00884CFA"/>
    <w:rsid w:val="00884E22"/>
    <w:rsid w:val="00890353"/>
    <w:rsid w:val="0089092C"/>
    <w:rsid w:val="00890B5C"/>
    <w:rsid w:val="00891402"/>
    <w:rsid w:val="008920DE"/>
    <w:rsid w:val="0089426B"/>
    <w:rsid w:val="00895B21"/>
    <w:rsid w:val="00896265"/>
    <w:rsid w:val="00897645"/>
    <w:rsid w:val="0089774E"/>
    <w:rsid w:val="008A18C9"/>
    <w:rsid w:val="008A4675"/>
    <w:rsid w:val="008A535A"/>
    <w:rsid w:val="008A5510"/>
    <w:rsid w:val="008A59E8"/>
    <w:rsid w:val="008A6D15"/>
    <w:rsid w:val="008A7456"/>
    <w:rsid w:val="008B051C"/>
    <w:rsid w:val="008B05C2"/>
    <w:rsid w:val="008B094A"/>
    <w:rsid w:val="008B1954"/>
    <w:rsid w:val="008B1BF5"/>
    <w:rsid w:val="008B2BD3"/>
    <w:rsid w:val="008B35D0"/>
    <w:rsid w:val="008B3801"/>
    <w:rsid w:val="008B4D8E"/>
    <w:rsid w:val="008B5803"/>
    <w:rsid w:val="008B5815"/>
    <w:rsid w:val="008B648A"/>
    <w:rsid w:val="008B6656"/>
    <w:rsid w:val="008B70B7"/>
    <w:rsid w:val="008B7150"/>
    <w:rsid w:val="008C0E19"/>
    <w:rsid w:val="008C1F09"/>
    <w:rsid w:val="008C2FD5"/>
    <w:rsid w:val="008C36DF"/>
    <w:rsid w:val="008C476B"/>
    <w:rsid w:val="008C4F70"/>
    <w:rsid w:val="008C571D"/>
    <w:rsid w:val="008C65F0"/>
    <w:rsid w:val="008C69E4"/>
    <w:rsid w:val="008C7931"/>
    <w:rsid w:val="008C79B9"/>
    <w:rsid w:val="008D0DDF"/>
    <w:rsid w:val="008D2633"/>
    <w:rsid w:val="008D2A6A"/>
    <w:rsid w:val="008D2C2E"/>
    <w:rsid w:val="008D2C45"/>
    <w:rsid w:val="008D2DDC"/>
    <w:rsid w:val="008D438B"/>
    <w:rsid w:val="008E145F"/>
    <w:rsid w:val="008E1AF9"/>
    <w:rsid w:val="008E2D46"/>
    <w:rsid w:val="008E46CB"/>
    <w:rsid w:val="008E6841"/>
    <w:rsid w:val="008F042E"/>
    <w:rsid w:val="008F1507"/>
    <w:rsid w:val="008F2C1E"/>
    <w:rsid w:val="008F35C3"/>
    <w:rsid w:val="008F3A9F"/>
    <w:rsid w:val="008F4851"/>
    <w:rsid w:val="008F5331"/>
    <w:rsid w:val="008F69DF"/>
    <w:rsid w:val="008F7DE1"/>
    <w:rsid w:val="009002DA"/>
    <w:rsid w:val="009037E0"/>
    <w:rsid w:val="00903F0C"/>
    <w:rsid w:val="009073D5"/>
    <w:rsid w:val="00910A60"/>
    <w:rsid w:val="00910C49"/>
    <w:rsid w:val="00910FF6"/>
    <w:rsid w:val="0091199D"/>
    <w:rsid w:val="00913639"/>
    <w:rsid w:val="00913E06"/>
    <w:rsid w:val="00914082"/>
    <w:rsid w:val="009146E5"/>
    <w:rsid w:val="009161F2"/>
    <w:rsid w:val="00917108"/>
    <w:rsid w:val="009176BE"/>
    <w:rsid w:val="00917854"/>
    <w:rsid w:val="00921BC7"/>
    <w:rsid w:val="0092276D"/>
    <w:rsid w:val="00923112"/>
    <w:rsid w:val="00924A9D"/>
    <w:rsid w:val="00924AA4"/>
    <w:rsid w:val="00924FC7"/>
    <w:rsid w:val="009250A8"/>
    <w:rsid w:val="00927238"/>
    <w:rsid w:val="00927F65"/>
    <w:rsid w:val="00930EDF"/>
    <w:rsid w:val="00931B68"/>
    <w:rsid w:val="0093337B"/>
    <w:rsid w:val="0093452E"/>
    <w:rsid w:val="009359E3"/>
    <w:rsid w:val="00937127"/>
    <w:rsid w:val="009403EA"/>
    <w:rsid w:val="00940D4A"/>
    <w:rsid w:val="009412FE"/>
    <w:rsid w:val="00942352"/>
    <w:rsid w:val="00942965"/>
    <w:rsid w:val="0094341C"/>
    <w:rsid w:val="00944F2C"/>
    <w:rsid w:val="00945471"/>
    <w:rsid w:val="00946B92"/>
    <w:rsid w:val="00951DF5"/>
    <w:rsid w:val="00952EC8"/>
    <w:rsid w:val="0095481A"/>
    <w:rsid w:val="009548EE"/>
    <w:rsid w:val="00955F31"/>
    <w:rsid w:val="00957AF6"/>
    <w:rsid w:val="009619EA"/>
    <w:rsid w:val="00961DCB"/>
    <w:rsid w:val="00961F6A"/>
    <w:rsid w:val="009621DC"/>
    <w:rsid w:val="00967980"/>
    <w:rsid w:val="00970011"/>
    <w:rsid w:val="009727DB"/>
    <w:rsid w:val="0097511B"/>
    <w:rsid w:val="0097520F"/>
    <w:rsid w:val="009759A4"/>
    <w:rsid w:val="0097693F"/>
    <w:rsid w:val="00976C6A"/>
    <w:rsid w:val="00977A7F"/>
    <w:rsid w:val="00977F43"/>
    <w:rsid w:val="00980425"/>
    <w:rsid w:val="00981E2A"/>
    <w:rsid w:val="00982C48"/>
    <w:rsid w:val="00982DF9"/>
    <w:rsid w:val="00983432"/>
    <w:rsid w:val="0098358F"/>
    <w:rsid w:val="009848B2"/>
    <w:rsid w:val="0098547F"/>
    <w:rsid w:val="00990A98"/>
    <w:rsid w:val="00991B7A"/>
    <w:rsid w:val="00993B37"/>
    <w:rsid w:val="009940B2"/>
    <w:rsid w:val="00994AD7"/>
    <w:rsid w:val="00994B7D"/>
    <w:rsid w:val="0099526E"/>
    <w:rsid w:val="00995B01"/>
    <w:rsid w:val="00996361"/>
    <w:rsid w:val="009966EB"/>
    <w:rsid w:val="009A085A"/>
    <w:rsid w:val="009A0ACB"/>
    <w:rsid w:val="009A134C"/>
    <w:rsid w:val="009A2065"/>
    <w:rsid w:val="009A3321"/>
    <w:rsid w:val="009A38F8"/>
    <w:rsid w:val="009A4B85"/>
    <w:rsid w:val="009A6A56"/>
    <w:rsid w:val="009A7999"/>
    <w:rsid w:val="009B1C2A"/>
    <w:rsid w:val="009B2A63"/>
    <w:rsid w:val="009B2CA3"/>
    <w:rsid w:val="009B62C5"/>
    <w:rsid w:val="009B6372"/>
    <w:rsid w:val="009C06D5"/>
    <w:rsid w:val="009C0EE0"/>
    <w:rsid w:val="009C47EE"/>
    <w:rsid w:val="009C4C43"/>
    <w:rsid w:val="009C7B42"/>
    <w:rsid w:val="009D0174"/>
    <w:rsid w:val="009D2109"/>
    <w:rsid w:val="009D28A5"/>
    <w:rsid w:val="009D4053"/>
    <w:rsid w:val="009D60D1"/>
    <w:rsid w:val="009D61CF"/>
    <w:rsid w:val="009D7FA5"/>
    <w:rsid w:val="009E096E"/>
    <w:rsid w:val="009E15DC"/>
    <w:rsid w:val="009E1868"/>
    <w:rsid w:val="009E586A"/>
    <w:rsid w:val="009E5A3D"/>
    <w:rsid w:val="009E61B3"/>
    <w:rsid w:val="009E72BC"/>
    <w:rsid w:val="009E75F7"/>
    <w:rsid w:val="009F089A"/>
    <w:rsid w:val="009F2462"/>
    <w:rsid w:val="009F2B59"/>
    <w:rsid w:val="009F477C"/>
    <w:rsid w:val="009F50F6"/>
    <w:rsid w:val="009F5C2C"/>
    <w:rsid w:val="00A003AB"/>
    <w:rsid w:val="00A00690"/>
    <w:rsid w:val="00A022E6"/>
    <w:rsid w:val="00A02312"/>
    <w:rsid w:val="00A02397"/>
    <w:rsid w:val="00A037E9"/>
    <w:rsid w:val="00A03B9A"/>
    <w:rsid w:val="00A0421A"/>
    <w:rsid w:val="00A04A66"/>
    <w:rsid w:val="00A0681E"/>
    <w:rsid w:val="00A07D9D"/>
    <w:rsid w:val="00A07FB0"/>
    <w:rsid w:val="00A107C2"/>
    <w:rsid w:val="00A11042"/>
    <w:rsid w:val="00A1159E"/>
    <w:rsid w:val="00A1267D"/>
    <w:rsid w:val="00A133AD"/>
    <w:rsid w:val="00A14140"/>
    <w:rsid w:val="00A14239"/>
    <w:rsid w:val="00A16CF9"/>
    <w:rsid w:val="00A17348"/>
    <w:rsid w:val="00A17F1B"/>
    <w:rsid w:val="00A20A4B"/>
    <w:rsid w:val="00A20D0A"/>
    <w:rsid w:val="00A22005"/>
    <w:rsid w:val="00A258F7"/>
    <w:rsid w:val="00A26288"/>
    <w:rsid w:val="00A2784B"/>
    <w:rsid w:val="00A304C8"/>
    <w:rsid w:val="00A305B8"/>
    <w:rsid w:val="00A30DC6"/>
    <w:rsid w:val="00A32E33"/>
    <w:rsid w:val="00A347D1"/>
    <w:rsid w:val="00A362DB"/>
    <w:rsid w:val="00A36300"/>
    <w:rsid w:val="00A36F78"/>
    <w:rsid w:val="00A370C2"/>
    <w:rsid w:val="00A40E0D"/>
    <w:rsid w:val="00A43629"/>
    <w:rsid w:val="00A4479D"/>
    <w:rsid w:val="00A47FBC"/>
    <w:rsid w:val="00A50ADA"/>
    <w:rsid w:val="00A52673"/>
    <w:rsid w:val="00A539F4"/>
    <w:rsid w:val="00A54511"/>
    <w:rsid w:val="00A555F3"/>
    <w:rsid w:val="00A567DA"/>
    <w:rsid w:val="00A57394"/>
    <w:rsid w:val="00A57446"/>
    <w:rsid w:val="00A5789E"/>
    <w:rsid w:val="00A60266"/>
    <w:rsid w:val="00A611AA"/>
    <w:rsid w:val="00A6258F"/>
    <w:rsid w:val="00A62A17"/>
    <w:rsid w:val="00A63695"/>
    <w:rsid w:val="00A644F0"/>
    <w:rsid w:val="00A64AAF"/>
    <w:rsid w:val="00A64C26"/>
    <w:rsid w:val="00A6513A"/>
    <w:rsid w:val="00A65344"/>
    <w:rsid w:val="00A7044F"/>
    <w:rsid w:val="00A7130A"/>
    <w:rsid w:val="00A72CDC"/>
    <w:rsid w:val="00A73DC3"/>
    <w:rsid w:val="00A75E66"/>
    <w:rsid w:val="00A76EA5"/>
    <w:rsid w:val="00A77783"/>
    <w:rsid w:val="00A77AB6"/>
    <w:rsid w:val="00A77FEA"/>
    <w:rsid w:val="00A80811"/>
    <w:rsid w:val="00A80EEF"/>
    <w:rsid w:val="00A81117"/>
    <w:rsid w:val="00A82C00"/>
    <w:rsid w:val="00A86391"/>
    <w:rsid w:val="00A9411F"/>
    <w:rsid w:val="00A9749A"/>
    <w:rsid w:val="00A97B2D"/>
    <w:rsid w:val="00AA3618"/>
    <w:rsid w:val="00AA4AFE"/>
    <w:rsid w:val="00AA7045"/>
    <w:rsid w:val="00AA74DD"/>
    <w:rsid w:val="00AB0170"/>
    <w:rsid w:val="00AB1B61"/>
    <w:rsid w:val="00AB23EF"/>
    <w:rsid w:val="00AB2A47"/>
    <w:rsid w:val="00AB3955"/>
    <w:rsid w:val="00AB3BF9"/>
    <w:rsid w:val="00AB7979"/>
    <w:rsid w:val="00AC14AC"/>
    <w:rsid w:val="00AC3BA4"/>
    <w:rsid w:val="00AC42D7"/>
    <w:rsid w:val="00AC431D"/>
    <w:rsid w:val="00AC50AA"/>
    <w:rsid w:val="00AC50D2"/>
    <w:rsid w:val="00AC518F"/>
    <w:rsid w:val="00AD0ACC"/>
    <w:rsid w:val="00AD0EBB"/>
    <w:rsid w:val="00AD1FD5"/>
    <w:rsid w:val="00AD20B8"/>
    <w:rsid w:val="00AD3B09"/>
    <w:rsid w:val="00AD5C9A"/>
    <w:rsid w:val="00AD60FC"/>
    <w:rsid w:val="00AE0B6B"/>
    <w:rsid w:val="00AE0FFD"/>
    <w:rsid w:val="00AE153A"/>
    <w:rsid w:val="00AE2AE3"/>
    <w:rsid w:val="00AE54E4"/>
    <w:rsid w:val="00AF1132"/>
    <w:rsid w:val="00AF36AC"/>
    <w:rsid w:val="00AF3785"/>
    <w:rsid w:val="00AF539A"/>
    <w:rsid w:val="00AF68E6"/>
    <w:rsid w:val="00B009C0"/>
    <w:rsid w:val="00B0125C"/>
    <w:rsid w:val="00B01FEA"/>
    <w:rsid w:val="00B04938"/>
    <w:rsid w:val="00B050EA"/>
    <w:rsid w:val="00B054FA"/>
    <w:rsid w:val="00B05F63"/>
    <w:rsid w:val="00B068F7"/>
    <w:rsid w:val="00B06AE1"/>
    <w:rsid w:val="00B07609"/>
    <w:rsid w:val="00B07657"/>
    <w:rsid w:val="00B07DC8"/>
    <w:rsid w:val="00B100D7"/>
    <w:rsid w:val="00B1072F"/>
    <w:rsid w:val="00B11704"/>
    <w:rsid w:val="00B12E3A"/>
    <w:rsid w:val="00B135AB"/>
    <w:rsid w:val="00B14482"/>
    <w:rsid w:val="00B15410"/>
    <w:rsid w:val="00B1594A"/>
    <w:rsid w:val="00B15D09"/>
    <w:rsid w:val="00B16AC2"/>
    <w:rsid w:val="00B16EDB"/>
    <w:rsid w:val="00B20FDC"/>
    <w:rsid w:val="00B215BD"/>
    <w:rsid w:val="00B21C78"/>
    <w:rsid w:val="00B225E1"/>
    <w:rsid w:val="00B239B1"/>
    <w:rsid w:val="00B2712D"/>
    <w:rsid w:val="00B272EA"/>
    <w:rsid w:val="00B27BD9"/>
    <w:rsid w:val="00B30B16"/>
    <w:rsid w:val="00B31134"/>
    <w:rsid w:val="00B320A4"/>
    <w:rsid w:val="00B34C25"/>
    <w:rsid w:val="00B36854"/>
    <w:rsid w:val="00B40765"/>
    <w:rsid w:val="00B42256"/>
    <w:rsid w:val="00B4292A"/>
    <w:rsid w:val="00B4456A"/>
    <w:rsid w:val="00B44903"/>
    <w:rsid w:val="00B45297"/>
    <w:rsid w:val="00B4544E"/>
    <w:rsid w:val="00B46352"/>
    <w:rsid w:val="00B51D46"/>
    <w:rsid w:val="00B5253D"/>
    <w:rsid w:val="00B536D6"/>
    <w:rsid w:val="00B5549E"/>
    <w:rsid w:val="00B557E9"/>
    <w:rsid w:val="00B55929"/>
    <w:rsid w:val="00B559E4"/>
    <w:rsid w:val="00B61818"/>
    <w:rsid w:val="00B61E93"/>
    <w:rsid w:val="00B63636"/>
    <w:rsid w:val="00B63664"/>
    <w:rsid w:val="00B70154"/>
    <w:rsid w:val="00B71DC6"/>
    <w:rsid w:val="00B721BE"/>
    <w:rsid w:val="00B725C0"/>
    <w:rsid w:val="00B74640"/>
    <w:rsid w:val="00B74C70"/>
    <w:rsid w:val="00B807D5"/>
    <w:rsid w:val="00B816AA"/>
    <w:rsid w:val="00B818FB"/>
    <w:rsid w:val="00B81B19"/>
    <w:rsid w:val="00B844F6"/>
    <w:rsid w:val="00B87516"/>
    <w:rsid w:val="00B87B47"/>
    <w:rsid w:val="00B92481"/>
    <w:rsid w:val="00B92F9F"/>
    <w:rsid w:val="00B9430A"/>
    <w:rsid w:val="00B94553"/>
    <w:rsid w:val="00B946E6"/>
    <w:rsid w:val="00B94CE9"/>
    <w:rsid w:val="00B951C2"/>
    <w:rsid w:val="00B96B84"/>
    <w:rsid w:val="00B96C53"/>
    <w:rsid w:val="00B97010"/>
    <w:rsid w:val="00B97359"/>
    <w:rsid w:val="00B97579"/>
    <w:rsid w:val="00BA2323"/>
    <w:rsid w:val="00BA293C"/>
    <w:rsid w:val="00BA3770"/>
    <w:rsid w:val="00BA40D4"/>
    <w:rsid w:val="00BA570D"/>
    <w:rsid w:val="00BA5D91"/>
    <w:rsid w:val="00BA73C3"/>
    <w:rsid w:val="00BA7F01"/>
    <w:rsid w:val="00BB18A7"/>
    <w:rsid w:val="00BB204A"/>
    <w:rsid w:val="00BB38D6"/>
    <w:rsid w:val="00BB45AF"/>
    <w:rsid w:val="00BB6025"/>
    <w:rsid w:val="00BB604F"/>
    <w:rsid w:val="00BB6BA6"/>
    <w:rsid w:val="00BB721D"/>
    <w:rsid w:val="00BB7F86"/>
    <w:rsid w:val="00BC0202"/>
    <w:rsid w:val="00BC025B"/>
    <w:rsid w:val="00BC0E9C"/>
    <w:rsid w:val="00BC1444"/>
    <w:rsid w:val="00BC3130"/>
    <w:rsid w:val="00BC3F73"/>
    <w:rsid w:val="00BC6A08"/>
    <w:rsid w:val="00BD0ECB"/>
    <w:rsid w:val="00BD1228"/>
    <w:rsid w:val="00BD1D42"/>
    <w:rsid w:val="00BD229C"/>
    <w:rsid w:val="00BD256B"/>
    <w:rsid w:val="00BD2BC1"/>
    <w:rsid w:val="00BD3010"/>
    <w:rsid w:val="00BD38C9"/>
    <w:rsid w:val="00BD3F1E"/>
    <w:rsid w:val="00BD42E7"/>
    <w:rsid w:val="00BD5178"/>
    <w:rsid w:val="00BD52C4"/>
    <w:rsid w:val="00BD587E"/>
    <w:rsid w:val="00BD62A3"/>
    <w:rsid w:val="00BD661E"/>
    <w:rsid w:val="00BE0451"/>
    <w:rsid w:val="00BE06CA"/>
    <w:rsid w:val="00BE0753"/>
    <w:rsid w:val="00BE0BE9"/>
    <w:rsid w:val="00BE19F8"/>
    <w:rsid w:val="00BE1D1F"/>
    <w:rsid w:val="00BE42A5"/>
    <w:rsid w:val="00BE5717"/>
    <w:rsid w:val="00BE6141"/>
    <w:rsid w:val="00BE70BB"/>
    <w:rsid w:val="00BE7863"/>
    <w:rsid w:val="00BE7D7F"/>
    <w:rsid w:val="00BF1191"/>
    <w:rsid w:val="00BF171B"/>
    <w:rsid w:val="00BF23B0"/>
    <w:rsid w:val="00BF275C"/>
    <w:rsid w:val="00BF2FF2"/>
    <w:rsid w:val="00BF33A1"/>
    <w:rsid w:val="00BF37FF"/>
    <w:rsid w:val="00BF42DB"/>
    <w:rsid w:val="00BF53C1"/>
    <w:rsid w:val="00BF5414"/>
    <w:rsid w:val="00BF73D4"/>
    <w:rsid w:val="00C027D2"/>
    <w:rsid w:val="00C0345B"/>
    <w:rsid w:val="00C03587"/>
    <w:rsid w:val="00C03F51"/>
    <w:rsid w:val="00C042C6"/>
    <w:rsid w:val="00C047E8"/>
    <w:rsid w:val="00C05939"/>
    <w:rsid w:val="00C065B1"/>
    <w:rsid w:val="00C12D48"/>
    <w:rsid w:val="00C13460"/>
    <w:rsid w:val="00C13987"/>
    <w:rsid w:val="00C14908"/>
    <w:rsid w:val="00C168EA"/>
    <w:rsid w:val="00C23E38"/>
    <w:rsid w:val="00C24A0D"/>
    <w:rsid w:val="00C24B81"/>
    <w:rsid w:val="00C250E2"/>
    <w:rsid w:val="00C25399"/>
    <w:rsid w:val="00C278B0"/>
    <w:rsid w:val="00C300E1"/>
    <w:rsid w:val="00C30C78"/>
    <w:rsid w:val="00C31844"/>
    <w:rsid w:val="00C320CD"/>
    <w:rsid w:val="00C3210B"/>
    <w:rsid w:val="00C32934"/>
    <w:rsid w:val="00C332E9"/>
    <w:rsid w:val="00C337A7"/>
    <w:rsid w:val="00C3565F"/>
    <w:rsid w:val="00C376B7"/>
    <w:rsid w:val="00C419A7"/>
    <w:rsid w:val="00C4339E"/>
    <w:rsid w:val="00C47986"/>
    <w:rsid w:val="00C47A38"/>
    <w:rsid w:val="00C50CB7"/>
    <w:rsid w:val="00C5199F"/>
    <w:rsid w:val="00C51E14"/>
    <w:rsid w:val="00C52014"/>
    <w:rsid w:val="00C5427C"/>
    <w:rsid w:val="00C55733"/>
    <w:rsid w:val="00C56A5C"/>
    <w:rsid w:val="00C57217"/>
    <w:rsid w:val="00C57B08"/>
    <w:rsid w:val="00C60BE2"/>
    <w:rsid w:val="00C652C8"/>
    <w:rsid w:val="00C6573C"/>
    <w:rsid w:val="00C65F20"/>
    <w:rsid w:val="00C669E7"/>
    <w:rsid w:val="00C66AC9"/>
    <w:rsid w:val="00C7115F"/>
    <w:rsid w:val="00C74E2C"/>
    <w:rsid w:val="00C7729C"/>
    <w:rsid w:val="00C809C9"/>
    <w:rsid w:val="00C81D4C"/>
    <w:rsid w:val="00C82DCE"/>
    <w:rsid w:val="00C85CC3"/>
    <w:rsid w:val="00C87B1E"/>
    <w:rsid w:val="00C91412"/>
    <w:rsid w:val="00C916BF"/>
    <w:rsid w:val="00C91840"/>
    <w:rsid w:val="00C91C18"/>
    <w:rsid w:val="00C91CFB"/>
    <w:rsid w:val="00C92CF3"/>
    <w:rsid w:val="00C93004"/>
    <w:rsid w:val="00C93E62"/>
    <w:rsid w:val="00C9537D"/>
    <w:rsid w:val="00C97051"/>
    <w:rsid w:val="00C9765C"/>
    <w:rsid w:val="00CA1DF6"/>
    <w:rsid w:val="00CA369E"/>
    <w:rsid w:val="00CA48F5"/>
    <w:rsid w:val="00CA62A2"/>
    <w:rsid w:val="00CA6875"/>
    <w:rsid w:val="00CA6A7E"/>
    <w:rsid w:val="00CA6EF9"/>
    <w:rsid w:val="00CB0148"/>
    <w:rsid w:val="00CB09BD"/>
    <w:rsid w:val="00CB0CCE"/>
    <w:rsid w:val="00CB17F5"/>
    <w:rsid w:val="00CB300E"/>
    <w:rsid w:val="00CB409B"/>
    <w:rsid w:val="00CB5F34"/>
    <w:rsid w:val="00CB6ADD"/>
    <w:rsid w:val="00CB7C6B"/>
    <w:rsid w:val="00CC0080"/>
    <w:rsid w:val="00CC0D29"/>
    <w:rsid w:val="00CC0D87"/>
    <w:rsid w:val="00CC179D"/>
    <w:rsid w:val="00CC21CE"/>
    <w:rsid w:val="00CC6021"/>
    <w:rsid w:val="00CC77D0"/>
    <w:rsid w:val="00CD00A5"/>
    <w:rsid w:val="00CD06E2"/>
    <w:rsid w:val="00CD218F"/>
    <w:rsid w:val="00CD37E2"/>
    <w:rsid w:val="00CD3EAD"/>
    <w:rsid w:val="00CD4D6C"/>
    <w:rsid w:val="00CD5868"/>
    <w:rsid w:val="00CD5AFA"/>
    <w:rsid w:val="00CE0105"/>
    <w:rsid w:val="00CE05D6"/>
    <w:rsid w:val="00CE0B0D"/>
    <w:rsid w:val="00CE0E61"/>
    <w:rsid w:val="00CE2567"/>
    <w:rsid w:val="00CE4A6B"/>
    <w:rsid w:val="00CE6090"/>
    <w:rsid w:val="00CE62EA"/>
    <w:rsid w:val="00CE7D4B"/>
    <w:rsid w:val="00CF0B82"/>
    <w:rsid w:val="00CF0F8D"/>
    <w:rsid w:val="00CF23B6"/>
    <w:rsid w:val="00CF411F"/>
    <w:rsid w:val="00CF4798"/>
    <w:rsid w:val="00CF4963"/>
    <w:rsid w:val="00CF5B53"/>
    <w:rsid w:val="00CF7417"/>
    <w:rsid w:val="00CF75E4"/>
    <w:rsid w:val="00D01628"/>
    <w:rsid w:val="00D040EA"/>
    <w:rsid w:val="00D041A1"/>
    <w:rsid w:val="00D043B3"/>
    <w:rsid w:val="00D05F0E"/>
    <w:rsid w:val="00D06980"/>
    <w:rsid w:val="00D10DBC"/>
    <w:rsid w:val="00D11357"/>
    <w:rsid w:val="00D113F4"/>
    <w:rsid w:val="00D11C57"/>
    <w:rsid w:val="00D1298C"/>
    <w:rsid w:val="00D145BA"/>
    <w:rsid w:val="00D14BD8"/>
    <w:rsid w:val="00D14E3A"/>
    <w:rsid w:val="00D15BDB"/>
    <w:rsid w:val="00D162C4"/>
    <w:rsid w:val="00D17C08"/>
    <w:rsid w:val="00D202DB"/>
    <w:rsid w:val="00D20C32"/>
    <w:rsid w:val="00D20D7F"/>
    <w:rsid w:val="00D235B1"/>
    <w:rsid w:val="00D23B23"/>
    <w:rsid w:val="00D244F4"/>
    <w:rsid w:val="00D25A5D"/>
    <w:rsid w:val="00D26D26"/>
    <w:rsid w:val="00D3014C"/>
    <w:rsid w:val="00D30D6B"/>
    <w:rsid w:val="00D30F81"/>
    <w:rsid w:val="00D34217"/>
    <w:rsid w:val="00D34674"/>
    <w:rsid w:val="00D36425"/>
    <w:rsid w:val="00D367B9"/>
    <w:rsid w:val="00D37C29"/>
    <w:rsid w:val="00D4241F"/>
    <w:rsid w:val="00D42A16"/>
    <w:rsid w:val="00D465C8"/>
    <w:rsid w:val="00D46C71"/>
    <w:rsid w:val="00D46EC6"/>
    <w:rsid w:val="00D474F0"/>
    <w:rsid w:val="00D47BE0"/>
    <w:rsid w:val="00D51032"/>
    <w:rsid w:val="00D553EC"/>
    <w:rsid w:val="00D55430"/>
    <w:rsid w:val="00D57602"/>
    <w:rsid w:val="00D57743"/>
    <w:rsid w:val="00D57A52"/>
    <w:rsid w:val="00D6058D"/>
    <w:rsid w:val="00D62292"/>
    <w:rsid w:val="00D622CE"/>
    <w:rsid w:val="00D62C23"/>
    <w:rsid w:val="00D635AB"/>
    <w:rsid w:val="00D64376"/>
    <w:rsid w:val="00D64D02"/>
    <w:rsid w:val="00D65634"/>
    <w:rsid w:val="00D65EE7"/>
    <w:rsid w:val="00D66214"/>
    <w:rsid w:val="00D718FD"/>
    <w:rsid w:val="00D733AA"/>
    <w:rsid w:val="00D7509E"/>
    <w:rsid w:val="00D75923"/>
    <w:rsid w:val="00D80870"/>
    <w:rsid w:val="00D82223"/>
    <w:rsid w:val="00D82E00"/>
    <w:rsid w:val="00D83901"/>
    <w:rsid w:val="00D83F27"/>
    <w:rsid w:val="00D84F12"/>
    <w:rsid w:val="00D85695"/>
    <w:rsid w:val="00D857F5"/>
    <w:rsid w:val="00D8687F"/>
    <w:rsid w:val="00D86C82"/>
    <w:rsid w:val="00D86D47"/>
    <w:rsid w:val="00D94303"/>
    <w:rsid w:val="00D9606D"/>
    <w:rsid w:val="00D97B88"/>
    <w:rsid w:val="00DA31A1"/>
    <w:rsid w:val="00DA5588"/>
    <w:rsid w:val="00DA687D"/>
    <w:rsid w:val="00DA7A10"/>
    <w:rsid w:val="00DA7B00"/>
    <w:rsid w:val="00DB0628"/>
    <w:rsid w:val="00DB07A9"/>
    <w:rsid w:val="00DB0E8E"/>
    <w:rsid w:val="00DB107B"/>
    <w:rsid w:val="00DB2917"/>
    <w:rsid w:val="00DB399F"/>
    <w:rsid w:val="00DB3F55"/>
    <w:rsid w:val="00DB475C"/>
    <w:rsid w:val="00DB4D5A"/>
    <w:rsid w:val="00DB6682"/>
    <w:rsid w:val="00DB6FEB"/>
    <w:rsid w:val="00DC1760"/>
    <w:rsid w:val="00DC1D78"/>
    <w:rsid w:val="00DC471B"/>
    <w:rsid w:val="00DC48CB"/>
    <w:rsid w:val="00DC78E8"/>
    <w:rsid w:val="00DD0150"/>
    <w:rsid w:val="00DD2A43"/>
    <w:rsid w:val="00DD3907"/>
    <w:rsid w:val="00DD6BC2"/>
    <w:rsid w:val="00DD7D06"/>
    <w:rsid w:val="00DE174C"/>
    <w:rsid w:val="00DE2589"/>
    <w:rsid w:val="00DE30A5"/>
    <w:rsid w:val="00DE42E3"/>
    <w:rsid w:val="00DE534B"/>
    <w:rsid w:val="00DE66D9"/>
    <w:rsid w:val="00DE71B1"/>
    <w:rsid w:val="00DF002D"/>
    <w:rsid w:val="00DF0506"/>
    <w:rsid w:val="00DF0FC2"/>
    <w:rsid w:val="00DF3B4E"/>
    <w:rsid w:val="00DF4348"/>
    <w:rsid w:val="00DF443D"/>
    <w:rsid w:val="00DF46AF"/>
    <w:rsid w:val="00DF6542"/>
    <w:rsid w:val="00DF6598"/>
    <w:rsid w:val="00DF7088"/>
    <w:rsid w:val="00DF7662"/>
    <w:rsid w:val="00E0016B"/>
    <w:rsid w:val="00E0073F"/>
    <w:rsid w:val="00E00F66"/>
    <w:rsid w:val="00E0221F"/>
    <w:rsid w:val="00E02E73"/>
    <w:rsid w:val="00E02F11"/>
    <w:rsid w:val="00E03448"/>
    <w:rsid w:val="00E03623"/>
    <w:rsid w:val="00E03DF8"/>
    <w:rsid w:val="00E04B62"/>
    <w:rsid w:val="00E05304"/>
    <w:rsid w:val="00E05988"/>
    <w:rsid w:val="00E06471"/>
    <w:rsid w:val="00E06AA4"/>
    <w:rsid w:val="00E07C4C"/>
    <w:rsid w:val="00E07E65"/>
    <w:rsid w:val="00E10090"/>
    <w:rsid w:val="00E11BA9"/>
    <w:rsid w:val="00E11EFD"/>
    <w:rsid w:val="00E122D2"/>
    <w:rsid w:val="00E126C6"/>
    <w:rsid w:val="00E130C0"/>
    <w:rsid w:val="00E15DDB"/>
    <w:rsid w:val="00E15FAE"/>
    <w:rsid w:val="00E16824"/>
    <w:rsid w:val="00E1785E"/>
    <w:rsid w:val="00E20619"/>
    <w:rsid w:val="00E20D23"/>
    <w:rsid w:val="00E20DF9"/>
    <w:rsid w:val="00E21961"/>
    <w:rsid w:val="00E23466"/>
    <w:rsid w:val="00E23BFC"/>
    <w:rsid w:val="00E26FB7"/>
    <w:rsid w:val="00E27803"/>
    <w:rsid w:val="00E279A8"/>
    <w:rsid w:val="00E30C49"/>
    <w:rsid w:val="00E31CAA"/>
    <w:rsid w:val="00E33889"/>
    <w:rsid w:val="00E33B1F"/>
    <w:rsid w:val="00E34D2C"/>
    <w:rsid w:val="00E3534A"/>
    <w:rsid w:val="00E4099D"/>
    <w:rsid w:val="00E41BA8"/>
    <w:rsid w:val="00E42006"/>
    <w:rsid w:val="00E42FB9"/>
    <w:rsid w:val="00E4397E"/>
    <w:rsid w:val="00E43DFE"/>
    <w:rsid w:val="00E4449E"/>
    <w:rsid w:val="00E46A06"/>
    <w:rsid w:val="00E477E7"/>
    <w:rsid w:val="00E50D54"/>
    <w:rsid w:val="00E50FB0"/>
    <w:rsid w:val="00E52931"/>
    <w:rsid w:val="00E5402C"/>
    <w:rsid w:val="00E543C7"/>
    <w:rsid w:val="00E54BDF"/>
    <w:rsid w:val="00E57CE3"/>
    <w:rsid w:val="00E607FB"/>
    <w:rsid w:val="00E60ED7"/>
    <w:rsid w:val="00E61B5F"/>
    <w:rsid w:val="00E63328"/>
    <w:rsid w:val="00E659E4"/>
    <w:rsid w:val="00E678F9"/>
    <w:rsid w:val="00E71951"/>
    <w:rsid w:val="00E71EE3"/>
    <w:rsid w:val="00E72A1B"/>
    <w:rsid w:val="00E73528"/>
    <w:rsid w:val="00E739E0"/>
    <w:rsid w:val="00E775AB"/>
    <w:rsid w:val="00E80F13"/>
    <w:rsid w:val="00E8141B"/>
    <w:rsid w:val="00E81B59"/>
    <w:rsid w:val="00E81D80"/>
    <w:rsid w:val="00E81DC6"/>
    <w:rsid w:val="00E837A8"/>
    <w:rsid w:val="00E84B99"/>
    <w:rsid w:val="00E85004"/>
    <w:rsid w:val="00E85219"/>
    <w:rsid w:val="00E85380"/>
    <w:rsid w:val="00E85793"/>
    <w:rsid w:val="00E87EBA"/>
    <w:rsid w:val="00E9104F"/>
    <w:rsid w:val="00E9114A"/>
    <w:rsid w:val="00E91C7C"/>
    <w:rsid w:val="00E92DFE"/>
    <w:rsid w:val="00E94C42"/>
    <w:rsid w:val="00E960E8"/>
    <w:rsid w:val="00E9664C"/>
    <w:rsid w:val="00E9775B"/>
    <w:rsid w:val="00EA0236"/>
    <w:rsid w:val="00EA15E3"/>
    <w:rsid w:val="00EA27AE"/>
    <w:rsid w:val="00EA36FD"/>
    <w:rsid w:val="00EA3CBA"/>
    <w:rsid w:val="00EA53BB"/>
    <w:rsid w:val="00EA54E6"/>
    <w:rsid w:val="00EA598A"/>
    <w:rsid w:val="00EA73AE"/>
    <w:rsid w:val="00EA7C89"/>
    <w:rsid w:val="00EA7E93"/>
    <w:rsid w:val="00EB294C"/>
    <w:rsid w:val="00EB40C7"/>
    <w:rsid w:val="00EB6BF7"/>
    <w:rsid w:val="00EB7131"/>
    <w:rsid w:val="00EB74B2"/>
    <w:rsid w:val="00EB754F"/>
    <w:rsid w:val="00EC0659"/>
    <w:rsid w:val="00EC06C5"/>
    <w:rsid w:val="00EC0A12"/>
    <w:rsid w:val="00EC16A5"/>
    <w:rsid w:val="00EC1DB3"/>
    <w:rsid w:val="00EC2935"/>
    <w:rsid w:val="00EC2B52"/>
    <w:rsid w:val="00EC2FC2"/>
    <w:rsid w:val="00EC3888"/>
    <w:rsid w:val="00ED1C03"/>
    <w:rsid w:val="00ED1CE0"/>
    <w:rsid w:val="00ED2DC5"/>
    <w:rsid w:val="00ED3D49"/>
    <w:rsid w:val="00ED4D8C"/>
    <w:rsid w:val="00ED6387"/>
    <w:rsid w:val="00ED7D0B"/>
    <w:rsid w:val="00EE083D"/>
    <w:rsid w:val="00EE3B44"/>
    <w:rsid w:val="00EE471A"/>
    <w:rsid w:val="00EE5559"/>
    <w:rsid w:val="00EE5611"/>
    <w:rsid w:val="00EE56DA"/>
    <w:rsid w:val="00EE592E"/>
    <w:rsid w:val="00EE612D"/>
    <w:rsid w:val="00EF25EC"/>
    <w:rsid w:val="00EF3720"/>
    <w:rsid w:val="00EF39D1"/>
    <w:rsid w:val="00EF49C2"/>
    <w:rsid w:val="00EF4A03"/>
    <w:rsid w:val="00EF5A51"/>
    <w:rsid w:val="00EF6472"/>
    <w:rsid w:val="00EF6CE7"/>
    <w:rsid w:val="00EF6F2C"/>
    <w:rsid w:val="00EF7C9E"/>
    <w:rsid w:val="00F00A16"/>
    <w:rsid w:val="00F01604"/>
    <w:rsid w:val="00F01ADA"/>
    <w:rsid w:val="00F02269"/>
    <w:rsid w:val="00F03449"/>
    <w:rsid w:val="00F03EDF"/>
    <w:rsid w:val="00F03F82"/>
    <w:rsid w:val="00F046FB"/>
    <w:rsid w:val="00F05CAE"/>
    <w:rsid w:val="00F05F0C"/>
    <w:rsid w:val="00F109CC"/>
    <w:rsid w:val="00F10EFE"/>
    <w:rsid w:val="00F11D0C"/>
    <w:rsid w:val="00F11D44"/>
    <w:rsid w:val="00F11F0B"/>
    <w:rsid w:val="00F12569"/>
    <w:rsid w:val="00F13E65"/>
    <w:rsid w:val="00F15FEA"/>
    <w:rsid w:val="00F166C3"/>
    <w:rsid w:val="00F21A81"/>
    <w:rsid w:val="00F23A41"/>
    <w:rsid w:val="00F23B68"/>
    <w:rsid w:val="00F23C6E"/>
    <w:rsid w:val="00F252DB"/>
    <w:rsid w:val="00F26CBA"/>
    <w:rsid w:val="00F27AC4"/>
    <w:rsid w:val="00F30810"/>
    <w:rsid w:val="00F3120F"/>
    <w:rsid w:val="00F36E08"/>
    <w:rsid w:val="00F36EB0"/>
    <w:rsid w:val="00F37E7E"/>
    <w:rsid w:val="00F407C7"/>
    <w:rsid w:val="00F40B1A"/>
    <w:rsid w:val="00F40DC2"/>
    <w:rsid w:val="00F43769"/>
    <w:rsid w:val="00F44BFA"/>
    <w:rsid w:val="00F44E04"/>
    <w:rsid w:val="00F46263"/>
    <w:rsid w:val="00F463E6"/>
    <w:rsid w:val="00F46778"/>
    <w:rsid w:val="00F46DB0"/>
    <w:rsid w:val="00F47A40"/>
    <w:rsid w:val="00F47E49"/>
    <w:rsid w:val="00F50114"/>
    <w:rsid w:val="00F50DF5"/>
    <w:rsid w:val="00F514F2"/>
    <w:rsid w:val="00F51EC9"/>
    <w:rsid w:val="00F5249E"/>
    <w:rsid w:val="00F53EA4"/>
    <w:rsid w:val="00F54369"/>
    <w:rsid w:val="00F544DA"/>
    <w:rsid w:val="00F54A34"/>
    <w:rsid w:val="00F54AD6"/>
    <w:rsid w:val="00F563FE"/>
    <w:rsid w:val="00F56EE9"/>
    <w:rsid w:val="00F56F53"/>
    <w:rsid w:val="00F57A83"/>
    <w:rsid w:val="00F6203E"/>
    <w:rsid w:val="00F620AC"/>
    <w:rsid w:val="00F6296B"/>
    <w:rsid w:val="00F6299C"/>
    <w:rsid w:val="00F63017"/>
    <w:rsid w:val="00F63CCB"/>
    <w:rsid w:val="00F64523"/>
    <w:rsid w:val="00F6610A"/>
    <w:rsid w:val="00F661A5"/>
    <w:rsid w:val="00F67005"/>
    <w:rsid w:val="00F674F5"/>
    <w:rsid w:val="00F67518"/>
    <w:rsid w:val="00F67C49"/>
    <w:rsid w:val="00F76EC6"/>
    <w:rsid w:val="00F77EA6"/>
    <w:rsid w:val="00F802E5"/>
    <w:rsid w:val="00F802FB"/>
    <w:rsid w:val="00F82101"/>
    <w:rsid w:val="00F8386A"/>
    <w:rsid w:val="00F853FF"/>
    <w:rsid w:val="00F85425"/>
    <w:rsid w:val="00F87468"/>
    <w:rsid w:val="00F9114A"/>
    <w:rsid w:val="00F91491"/>
    <w:rsid w:val="00F917AA"/>
    <w:rsid w:val="00F928B2"/>
    <w:rsid w:val="00F929FA"/>
    <w:rsid w:val="00F94203"/>
    <w:rsid w:val="00F9538F"/>
    <w:rsid w:val="00F953C4"/>
    <w:rsid w:val="00F9578E"/>
    <w:rsid w:val="00F96BD5"/>
    <w:rsid w:val="00F96E78"/>
    <w:rsid w:val="00F972AD"/>
    <w:rsid w:val="00F97BDE"/>
    <w:rsid w:val="00FA2873"/>
    <w:rsid w:val="00FA2D44"/>
    <w:rsid w:val="00FA3458"/>
    <w:rsid w:val="00FA41BE"/>
    <w:rsid w:val="00FA42F9"/>
    <w:rsid w:val="00FA6AF6"/>
    <w:rsid w:val="00FB1F4E"/>
    <w:rsid w:val="00FB21F3"/>
    <w:rsid w:val="00FB3030"/>
    <w:rsid w:val="00FB5785"/>
    <w:rsid w:val="00FB5E76"/>
    <w:rsid w:val="00FC10E2"/>
    <w:rsid w:val="00FC2EBE"/>
    <w:rsid w:val="00FC3636"/>
    <w:rsid w:val="00FC3A28"/>
    <w:rsid w:val="00FC3E38"/>
    <w:rsid w:val="00FC428C"/>
    <w:rsid w:val="00FC6A09"/>
    <w:rsid w:val="00FC6F4A"/>
    <w:rsid w:val="00FC7950"/>
    <w:rsid w:val="00FD0DC3"/>
    <w:rsid w:val="00FD129F"/>
    <w:rsid w:val="00FD63B0"/>
    <w:rsid w:val="00FE04D5"/>
    <w:rsid w:val="00FE0856"/>
    <w:rsid w:val="00FE0954"/>
    <w:rsid w:val="00FE0FB7"/>
    <w:rsid w:val="00FE1C67"/>
    <w:rsid w:val="00FE54DB"/>
    <w:rsid w:val="00FE5E90"/>
    <w:rsid w:val="00FE6279"/>
    <w:rsid w:val="00FE758B"/>
    <w:rsid w:val="00FF020B"/>
    <w:rsid w:val="00FF0AB0"/>
    <w:rsid w:val="00FF2302"/>
    <w:rsid w:val="00FF42AE"/>
    <w:rsid w:val="00FF57D2"/>
    <w:rsid w:val="00FF5ACD"/>
    <w:rsid w:val="00FF75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8066" style="mso-width-relative:margin;mso-height-relative:margin" fillcolor="white">
      <v:fill color="white"/>
      <o:colormenu v:ext="edit" shadowcolor="none"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B00"/>
  </w:style>
  <w:style w:type="paragraph" w:styleId="Ttulo1">
    <w:name w:val="heading 1"/>
    <w:basedOn w:val="Normal"/>
    <w:next w:val="Normal"/>
    <w:link w:val="Ttulo1Char"/>
    <w:uiPriority w:val="9"/>
    <w:qFormat/>
    <w:rsid w:val="005B6056"/>
    <w:pPr>
      <w:keepNext/>
      <w:keepLines/>
      <w:outlineLvl w:val="0"/>
    </w:pPr>
    <w:rPr>
      <w:rFonts w:ascii="Times New Roman" w:eastAsiaTheme="majorEastAsia" w:hAnsi="Times New Roman" w:cstheme="majorBidi"/>
      <w:b/>
      <w:bCs/>
      <w:caps/>
      <w:sz w:val="24"/>
      <w:szCs w:val="28"/>
    </w:rPr>
  </w:style>
  <w:style w:type="paragraph" w:styleId="Ttulo2">
    <w:name w:val="heading 2"/>
    <w:next w:val="Normal"/>
    <w:link w:val="Ttulo2Char"/>
    <w:uiPriority w:val="9"/>
    <w:unhideWhenUsed/>
    <w:qFormat/>
    <w:rsid w:val="004C6D64"/>
    <w:pPr>
      <w:keepNext/>
      <w:keepLines/>
      <w:outlineLvl w:val="1"/>
    </w:pPr>
    <w:rPr>
      <w:rFonts w:ascii="Times New Roman" w:eastAsiaTheme="majorEastAsia" w:hAnsi="Times New Roman" w:cstheme="majorBidi"/>
      <w:b/>
      <w:bCs/>
      <w:sz w:val="24"/>
      <w:szCs w:val="26"/>
    </w:rPr>
  </w:style>
  <w:style w:type="paragraph" w:styleId="Ttulo3">
    <w:name w:val="heading 3"/>
    <w:basedOn w:val="Normal"/>
    <w:next w:val="Normal"/>
    <w:link w:val="Ttulo3Char"/>
    <w:uiPriority w:val="9"/>
    <w:unhideWhenUsed/>
    <w:qFormat/>
    <w:rsid w:val="005457BB"/>
    <w:pPr>
      <w:keepNext/>
      <w:keepLines/>
      <w:outlineLvl w:val="2"/>
    </w:pPr>
    <w:rPr>
      <w:rFonts w:ascii="Times New Roman" w:eastAsiaTheme="majorEastAsia" w:hAnsi="Times New Roman" w:cstheme="majorBidi"/>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B6056"/>
    <w:rPr>
      <w:rFonts w:ascii="Times New Roman" w:eastAsiaTheme="majorEastAsia" w:hAnsi="Times New Roman" w:cstheme="majorBidi"/>
      <w:b/>
      <w:bCs/>
      <w:caps/>
      <w:sz w:val="24"/>
      <w:szCs w:val="28"/>
    </w:rPr>
  </w:style>
  <w:style w:type="paragraph" w:styleId="Textodenotaderodap">
    <w:name w:val="footnote text"/>
    <w:basedOn w:val="Normal"/>
    <w:link w:val="TextodenotaderodapChar"/>
    <w:uiPriority w:val="99"/>
    <w:semiHidden/>
    <w:unhideWhenUsed/>
    <w:rsid w:val="004A229A"/>
    <w:rPr>
      <w:sz w:val="20"/>
      <w:szCs w:val="20"/>
    </w:rPr>
  </w:style>
  <w:style w:type="character" w:customStyle="1" w:styleId="TextodenotaderodapChar">
    <w:name w:val="Texto de nota de rodapé Char"/>
    <w:basedOn w:val="Fontepargpadro"/>
    <w:link w:val="Textodenotaderodap"/>
    <w:uiPriority w:val="99"/>
    <w:semiHidden/>
    <w:rsid w:val="004A229A"/>
    <w:rPr>
      <w:sz w:val="20"/>
      <w:szCs w:val="20"/>
    </w:rPr>
  </w:style>
  <w:style w:type="character" w:styleId="Refdenotaderodap">
    <w:name w:val="footnote reference"/>
    <w:basedOn w:val="Fontepargpadro"/>
    <w:uiPriority w:val="99"/>
    <w:semiHidden/>
    <w:unhideWhenUsed/>
    <w:rsid w:val="004A229A"/>
    <w:rPr>
      <w:vertAlign w:val="superscript"/>
    </w:rPr>
  </w:style>
  <w:style w:type="character" w:styleId="Hyperlink">
    <w:name w:val="Hyperlink"/>
    <w:basedOn w:val="Fontepargpadro"/>
    <w:uiPriority w:val="99"/>
    <w:unhideWhenUsed/>
    <w:rsid w:val="00A5789E"/>
    <w:rPr>
      <w:color w:val="0000FF"/>
      <w:u w:val="single"/>
    </w:rPr>
  </w:style>
  <w:style w:type="paragraph" w:styleId="PargrafodaLista">
    <w:name w:val="List Paragraph"/>
    <w:basedOn w:val="Normal"/>
    <w:uiPriority w:val="34"/>
    <w:qFormat/>
    <w:rsid w:val="001E35F6"/>
    <w:pPr>
      <w:ind w:left="720"/>
      <w:contextualSpacing/>
    </w:pPr>
  </w:style>
  <w:style w:type="paragraph" w:styleId="Cabealho">
    <w:name w:val="header"/>
    <w:basedOn w:val="Normal"/>
    <w:link w:val="CabealhoChar"/>
    <w:uiPriority w:val="99"/>
    <w:unhideWhenUsed/>
    <w:rsid w:val="00453937"/>
    <w:pPr>
      <w:tabs>
        <w:tab w:val="center" w:pos="4252"/>
        <w:tab w:val="right" w:pos="8504"/>
      </w:tabs>
    </w:pPr>
  </w:style>
  <w:style w:type="character" w:customStyle="1" w:styleId="CabealhoChar">
    <w:name w:val="Cabeçalho Char"/>
    <w:basedOn w:val="Fontepargpadro"/>
    <w:link w:val="Cabealho"/>
    <w:uiPriority w:val="99"/>
    <w:rsid w:val="00453937"/>
  </w:style>
  <w:style w:type="paragraph" w:styleId="Rodap">
    <w:name w:val="footer"/>
    <w:basedOn w:val="Normal"/>
    <w:link w:val="RodapChar"/>
    <w:uiPriority w:val="99"/>
    <w:unhideWhenUsed/>
    <w:rsid w:val="00453937"/>
    <w:pPr>
      <w:tabs>
        <w:tab w:val="center" w:pos="4252"/>
        <w:tab w:val="right" w:pos="8504"/>
      </w:tabs>
    </w:pPr>
  </w:style>
  <w:style w:type="character" w:customStyle="1" w:styleId="RodapChar">
    <w:name w:val="Rodapé Char"/>
    <w:basedOn w:val="Fontepargpadro"/>
    <w:link w:val="Rodap"/>
    <w:uiPriority w:val="99"/>
    <w:rsid w:val="00453937"/>
  </w:style>
  <w:style w:type="paragraph" w:styleId="CabealhodoSumrio">
    <w:name w:val="TOC Heading"/>
    <w:basedOn w:val="Ttulo1"/>
    <w:next w:val="Normal"/>
    <w:uiPriority w:val="39"/>
    <w:unhideWhenUsed/>
    <w:qFormat/>
    <w:rsid w:val="008A7456"/>
    <w:pPr>
      <w:spacing w:line="276" w:lineRule="auto"/>
      <w:jc w:val="left"/>
      <w:outlineLvl w:val="9"/>
    </w:pPr>
  </w:style>
  <w:style w:type="paragraph" w:styleId="Textodebalo">
    <w:name w:val="Balloon Text"/>
    <w:basedOn w:val="Normal"/>
    <w:link w:val="TextodebaloChar"/>
    <w:uiPriority w:val="99"/>
    <w:semiHidden/>
    <w:unhideWhenUsed/>
    <w:rsid w:val="008A7456"/>
    <w:rPr>
      <w:rFonts w:ascii="Tahoma" w:hAnsi="Tahoma" w:cs="Tahoma"/>
      <w:sz w:val="16"/>
      <w:szCs w:val="16"/>
    </w:rPr>
  </w:style>
  <w:style w:type="character" w:customStyle="1" w:styleId="TextodebaloChar">
    <w:name w:val="Texto de balão Char"/>
    <w:basedOn w:val="Fontepargpadro"/>
    <w:link w:val="Textodebalo"/>
    <w:uiPriority w:val="99"/>
    <w:semiHidden/>
    <w:rsid w:val="008A7456"/>
    <w:rPr>
      <w:rFonts w:ascii="Tahoma" w:hAnsi="Tahoma" w:cs="Tahoma"/>
      <w:sz w:val="16"/>
      <w:szCs w:val="16"/>
    </w:rPr>
  </w:style>
  <w:style w:type="table" w:styleId="Tabelacomgrade">
    <w:name w:val="Table Grid"/>
    <w:basedOn w:val="Tabelanormal"/>
    <w:uiPriority w:val="59"/>
    <w:rsid w:val="00A73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1500AC"/>
    <w:rPr>
      <w:color w:val="800080" w:themeColor="followedHyperlink"/>
      <w:u w:val="single"/>
    </w:rPr>
  </w:style>
  <w:style w:type="character" w:customStyle="1" w:styleId="TextodenotadefimChar">
    <w:name w:val="Texto de nota de fim Char"/>
    <w:basedOn w:val="Fontepargpadro"/>
    <w:link w:val="Textodenotadefim"/>
    <w:uiPriority w:val="99"/>
    <w:semiHidden/>
    <w:rsid w:val="00DA31A1"/>
    <w:rPr>
      <w:sz w:val="20"/>
      <w:szCs w:val="20"/>
    </w:rPr>
  </w:style>
  <w:style w:type="paragraph" w:styleId="Textodenotadefim">
    <w:name w:val="endnote text"/>
    <w:basedOn w:val="Normal"/>
    <w:link w:val="TextodenotadefimChar"/>
    <w:uiPriority w:val="99"/>
    <w:semiHidden/>
    <w:unhideWhenUsed/>
    <w:rsid w:val="00DA31A1"/>
    <w:pPr>
      <w:jc w:val="left"/>
    </w:pPr>
    <w:rPr>
      <w:sz w:val="20"/>
      <w:szCs w:val="20"/>
    </w:rPr>
  </w:style>
  <w:style w:type="character" w:customStyle="1" w:styleId="MapadoDocumentoChar">
    <w:name w:val="Mapa do Documento Char"/>
    <w:basedOn w:val="Fontepargpadro"/>
    <w:link w:val="MapadoDocumento"/>
    <w:uiPriority w:val="99"/>
    <w:semiHidden/>
    <w:rsid w:val="00DA31A1"/>
    <w:rPr>
      <w:rFonts w:ascii="Tahoma" w:hAnsi="Tahoma" w:cs="Tahoma"/>
      <w:sz w:val="16"/>
      <w:szCs w:val="16"/>
    </w:rPr>
  </w:style>
  <w:style w:type="paragraph" w:styleId="MapadoDocumento">
    <w:name w:val="Document Map"/>
    <w:basedOn w:val="Normal"/>
    <w:link w:val="MapadoDocumentoChar"/>
    <w:uiPriority w:val="99"/>
    <w:semiHidden/>
    <w:unhideWhenUsed/>
    <w:rsid w:val="00DA31A1"/>
    <w:pPr>
      <w:jc w:val="left"/>
    </w:pPr>
    <w:rPr>
      <w:rFonts w:ascii="Tahoma" w:hAnsi="Tahoma" w:cs="Tahoma"/>
      <w:sz w:val="16"/>
      <w:szCs w:val="16"/>
    </w:rPr>
  </w:style>
  <w:style w:type="character" w:styleId="Forte">
    <w:name w:val="Strong"/>
    <w:basedOn w:val="Fontepargpadro"/>
    <w:uiPriority w:val="99"/>
    <w:qFormat/>
    <w:rsid w:val="00DA31A1"/>
    <w:rPr>
      <w:rFonts w:cs="Times New Roman"/>
      <w:b/>
      <w:bCs/>
    </w:rPr>
  </w:style>
  <w:style w:type="character" w:customStyle="1" w:styleId="apple-converted-space">
    <w:name w:val="apple-converted-space"/>
    <w:basedOn w:val="Fontepargpadro"/>
    <w:rsid w:val="00DA31A1"/>
  </w:style>
  <w:style w:type="paragraph" w:styleId="Sumrio1">
    <w:name w:val="toc 1"/>
    <w:basedOn w:val="Normal"/>
    <w:next w:val="Normal"/>
    <w:autoRedefine/>
    <w:uiPriority w:val="39"/>
    <w:unhideWhenUsed/>
    <w:qFormat/>
    <w:rsid w:val="00D367B9"/>
    <w:pPr>
      <w:tabs>
        <w:tab w:val="right" w:leader="dot" w:pos="9061"/>
      </w:tabs>
      <w:spacing w:after="100"/>
    </w:pPr>
    <w:rPr>
      <w:rFonts w:cs="Times New Roman"/>
      <w:caps/>
      <w:noProof/>
      <w:lang w:val="pt-PT"/>
    </w:rPr>
  </w:style>
  <w:style w:type="paragraph" w:styleId="Sumrio2">
    <w:name w:val="toc 2"/>
    <w:basedOn w:val="Normal"/>
    <w:next w:val="Normal"/>
    <w:autoRedefine/>
    <w:uiPriority w:val="39"/>
    <w:unhideWhenUsed/>
    <w:qFormat/>
    <w:rsid w:val="00931B68"/>
    <w:pPr>
      <w:spacing w:after="100" w:line="276" w:lineRule="auto"/>
      <w:ind w:left="220"/>
      <w:jc w:val="left"/>
    </w:pPr>
    <w:rPr>
      <w:rFonts w:eastAsiaTheme="minorEastAsia"/>
    </w:rPr>
  </w:style>
  <w:style w:type="paragraph" w:styleId="Sumrio3">
    <w:name w:val="toc 3"/>
    <w:basedOn w:val="Normal"/>
    <w:next w:val="Normal"/>
    <w:autoRedefine/>
    <w:uiPriority w:val="39"/>
    <w:unhideWhenUsed/>
    <w:qFormat/>
    <w:rsid w:val="00931B68"/>
    <w:pPr>
      <w:spacing w:after="100" w:line="276" w:lineRule="auto"/>
      <w:ind w:left="440"/>
      <w:jc w:val="left"/>
    </w:pPr>
    <w:rPr>
      <w:rFonts w:eastAsiaTheme="minorEastAsia"/>
    </w:rPr>
  </w:style>
  <w:style w:type="character" w:customStyle="1" w:styleId="Ttulo2Char">
    <w:name w:val="Título 2 Char"/>
    <w:basedOn w:val="Fontepargpadro"/>
    <w:link w:val="Ttulo2"/>
    <w:uiPriority w:val="9"/>
    <w:rsid w:val="004C6D64"/>
    <w:rPr>
      <w:rFonts w:ascii="Times New Roman" w:eastAsiaTheme="majorEastAsia" w:hAnsi="Times New Roman" w:cstheme="majorBidi"/>
      <w:b/>
      <w:bCs/>
      <w:sz w:val="24"/>
      <w:szCs w:val="26"/>
    </w:rPr>
  </w:style>
  <w:style w:type="character" w:customStyle="1" w:styleId="Ttulo3Char">
    <w:name w:val="Título 3 Char"/>
    <w:basedOn w:val="Fontepargpadro"/>
    <w:link w:val="Ttulo3"/>
    <w:uiPriority w:val="9"/>
    <w:rsid w:val="005457BB"/>
    <w:rPr>
      <w:rFonts w:ascii="Times New Roman" w:eastAsiaTheme="majorEastAsia" w:hAnsi="Times New Roman" w:cstheme="majorBidi"/>
      <w:b/>
      <w:bCs/>
      <w:sz w:val="24"/>
    </w:rPr>
  </w:style>
</w:styles>
</file>

<file path=word/webSettings.xml><?xml version="1.0" encoding="utf-8"?>
<w:webSettings xmlns:r="http://schemas.openxmlformats.org/officeDocument/2006/relationships" xmlns:w="http://schemas.openxmlformats.org/wordprocessingml/2006/main">
  <w:divs>
    <w:div w:id="444688977">
      <w:bodyDiv w:val="1"/>
      <w:marLeft w:val="0"/>
      <w:marRight w:val="0"/>
      <w:marTop w:val="0"/>
      <w:marBottom w:val="0"/>
      <w:divBdr>
        <w:top w:val="none" w:sz="0" w:space="0" w:color="auto"/>
        <w:left w:val="none" w:sz="0" w:space="0" w:color="auto"/>
        <w:bottom w:val="none" w:sz="0" w:space="0" w:color="auto"/>
        <w:right w:val="none" w:sz="0" w:space="0" w:color="auto"/>
      </w:divBdr>
    </w:div>
    <w:div w:id="743262624">
      <w:bodyDiv w:val="1"/>
      <w:marLeft w:val="0"/>
      <w:marRight w:val="0"/>
      <w:marTop w:val="0"/>
      <w:marBottom w:val="0"/>
      <w:divBdr>
        <w:top w:val="none" w:sz="0" w:space="0" w:color="auto"/>
        <w:left w:val="none" w:sz="0" w:space="0" w:color="auto"/>
        <w:bottom w:val="none" w:sz="0" w:space="0" w:color="auto"/>
        <w:right w:val="none" w:sz="0" w:space="0" w:color="auto"/>
      </w:divBdr>
    </w:div>
    <w:div w:id="774324980">
      <w:bodyDiv w:val="1"/>
      <w:marLeft w:val="0"/>
      <w:marRight w:val="0"/>
      <w:marTop w:val="0"/>
      <w:marBottom w:val="0"/>
      <w:divBdr>
        <w:top w:val="none" w:sz="0" w:space="0" w:color="auto"/>
        <w:left w:val="none" w:sz="0" w:space="0" w:color="auto"/>
        <w:bottom w:val="none" w:sz="0" w:space="0" w:color="auto"/>
        <w:right w:val="none" w:sz="0" w:space="0" w:color="auto"/>
      </w:divBdr>
    </w:div>
    <w:div w:id="886070567">
      <w:bodyDiv w:val="1"/>
      <w:marLeft w:val="0"/>
      <w:marRight w:val="0"/>
      <w:marTop w:val="0"/>
      <w:marBottom w:val="0"/>
      <w:divBdr>
        <w:top w:val="none" w:sz="0" w:space="0" w:color="auto"/>
        <w:left w:val="none" w:sz="0" w:space="0" w:color="auto"/>
        <w:bottom w:val="none" w:sz="0" w:space="0" w:color="auto"/>
        <w:right w:val="none" w:sz="0" w:space="0" w:color="auto"/>
      </w:divBdr>
    </w:div>
    <w:div w:id="1281688576">
      <w:bodyDiv w:val="1"/>
      <w:marLeft w:val="0"/>
      <w:marRight w:val="0"/>
      <w:marTop w:val="0"/>
      <w:marBottom w:val="0"/>
      <w:divBdr>
        <w:top w:val="none" w:sz="0" w:space="0" w:color="auto"/>
        <w:left w:val="none" w:sz="0" w:space="0" w:color="auto"/>
        <w:bottom w:val="none" w:sz="0" w:space="0" w:color="auto"/>
        <w:right w:val="none" w:sz="0" w:space="0" w:color="auto"/>
      </w:divBdr>
    </w:div>
    <w:div w:id="1345790974">
      <w:bodyDiv w:val="1"/>
      <w:marLeft w:val="0"/>
      <w:marRight w:val="0"/>
      <w:marTop w:val="0"/>
      <w:marBottom w:val="0"/>
      <w:divBdr>
        <w:top w:val="none" w:sz="0" w:space="0" w:color="auto"/>
        <w:left w:val="none" w:sz="0" w:space="0" w:color="auto"/>
        <w:bottom w:val="none" w:sz="0" w:space="0" w:color="auto"/>
        <w:right w:val="none" w:sz="0" w:space="0" w:color="auto"/>
      </w:divBdr>
    </w:div>
    <w:div w:id="1536188801">
      <w:bodyDiv w:val="1"/>
      <w:marLeft w:val="0"/>
      <w:marRight w:val="0"/>
      <w:marTop w:val="0"/>
      <w:marBottom w:val="0"/>
      <w:divBdr>
        <w:top w:val="none" w:sz="0" w:space="0" w:color="auto"/>
        <w:left w:val="none" w:sz="0" w:space="0" w:color="auto"/>
        <w:bottom w:val="none" w:sz="0" w:space="0" w:color="auto"/>
        <w:right w:val="none" w:sz="0" w:space="0" w:color="auto"/>
      </w:divBdr>
    </w:div>
    <w:div w:id="1931574008">
      <w:bodyDiv w:val="1"/>
      <w:marLeft w:val="0"/>
      <w:marRight w:val="0"/>
      <w:marTop w:val="0"/>
      <w:marBottom w:val="0"/>
      <w:divBdr>
        <w:top w:val="none" w:sz="0" w:space="0" w:color="auto"/>
        <w:left w:val="none" w:sz="0" w:space="0" w:color="auto"/>
        <w:bottom w:val="none" w:sz="0" w:space="0" w:color="auto"/>
        <w:right w:val="none" w:sz="0" w:space="0" w:color="auto"/>
      </w:divBdr>
    </w:div>
    <w:div w:id="210962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image" Target="media/image7.png"/><Relationship Id="rId26" Type="http://schemas.openxmlformats.org/officeDocument/2006/relationships/diagramData" Target="diagrams/data2.xml"/><Relationship Id="rId39" Type="http://schemas.openxmlformats.org/officeDocument/2006/relationships/hyperlink" Target="http://globelics2009dakar.merit.unu.edu/papers/1238516980_ED.pdf" TargetMode="External"/><Relationship Id="rId21" Type="http://schemas.openxmlformats.org/officeDocument/2006/relationships/diagramLayout" Target="diagrams/layout1.xml"/><Relationship Id="rId34" Type="http://schemas.openxmlformats.org/officeDocument/2006/relationships/hyperlink" Target="http://infopetro.files.wordpress.com/2010/02/2008_maijun_petrogas.pdf" TargetMode="External"/><Relationship Id="rId42" Type="http://schemas.openxmlformats.org/officeDocument/2006/relationships/hyperlink" Target="http://www.iisd.org/gsi/biofuel-subsidies/biofuels-state-play-2012" TargetMode="External"/><Relationship Id="rId47" Type="http://schemas.openxmlformats.org/officeDocument/2006/relationships/hyperlink" Target="http://www.pdp.gov.br" TargetMode="External"/><Relationship Id="rId50" Type="http://schemas.openxmlformats.org/officeDocument/2006/relationships/hyperlink" Target="http://www.rins.us/media/f5e7d48fc3eae971ffff81b0ffffffdb.pdf" TargetMode="External"/><Relationship Id="rId55" Type="http://schemas.openxmlformats.org/officeDocument/2006/relationships/hyperlink" Target="http://www.fas.org/sgp/crs/misc/R40155.pdf"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6.png"/><Relationship Id="rId25" Type="http://schemas.openxmlformats.org/officeDocument/2006/relationships/chart" Target="charts/chart3.xml"/><Relationship Id="rId33" Type="http://schemas.openxmlformats.org/officeDocument/2006/relationships/hyperlink" Target="http://www.arb.ca.gov/fuels/lcfs/lcfs.htm" TargetMode="External"/><Relationship Id="rId38" Type="http://schemas.openxmlformats.org/officeDocument/2006/relationships/hyperlink" Target="http://www.planalto.gov.br/ccivil_03/_Ato2011-2014/2011/Lei/L12490.htm" TargetMode="External"/><Relationship Id="rId46" Type="http://schemas.openxmlformats.org/officeDocument/2006/relationships/hyperlink" Target="http://www.pdp.gov.br"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diagramData" Target="diagrams/data1.xml"/><Relationship Id="rId29" Type="http://schemas.openxmlformats.org/officeDocument/2006/relationships/diagramColors" Target="diagrams/colors2.xml"/><Relationship Id="rId41" Type="http://schemas.openxmlformats.org/officeDocument/2006/relationships/hyperlink" Target="http://onlinelibrary.wiley.com/doi/10.%201002/bbb.354/pdf" TargetMode="External"/><Relationship Id="rId54" Type="http://schemas.openxmlformats.org/officeDocument/2006/relationships/hyperlink" Target="http://www3.prefeitura.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07/relationships/diagramDrawing" Target="diagrams/drawing1.xml"/><Relationship Id="rId32" Type="http://schemas.openxmlformats.org/officeDocument/2006/relationships/hyperlink" Target="http://www.anp.gov.br" TargetMode="External"/><Relationship Id="rId37" Type="http://schemas.openxmlformats.org/officeDocument/2006/relationships/hyperlink" Target="http://www.planalto.gov.br/ccivil_03/_ato2007-2010/2009/lei/l12187.htm" TargetMode="External"/><Relationship Id="rId40" Type="http://schemas.openxmlformats.org/officeDocument/2006/relationships/hyperlink" Target="http://epa.gov/otaq/fuels/renewablefuels/index.htm" TargetMode="External"/><Relationship Id="rId45" Type="http://schemas.openxmlformats.org/officeDocument/2006/relationships/hyperlink" Target="http://www.brasilmaior.mdic.gov.br/artigos/1898" TargetMode="External"/><Relationship Id="rId53" Type="http://schemas.openxmlformats.org/officeDocument/2006/relationships/hyperlink" Target="http://www.rfa.org"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diagramColors" Target="diagrams/colors1.xml"/><Relationship Id="rId28" Type="http://schemas.openxmlformats.org/officeDocument/2006/relationships/diagramQuickStyle" Target="diagrams/quickStyle2.xml"/><Relationship Id="rId36" Type="http://schemas.openxmlformats.org/officeDocument/2006/relationships/hyperlink" Target="http://www.planalto.gov.br/ccivil_03/leis/L9478.htm" TargetMode="External"/><Relationship Id="rId49" Type="http://schemas.openxmlformats.org/officeDocument/2006/relationships/hyperlink" Target="http://www.ambito-juridico.com.br/site/index.php?n_link=revista_artigos_leitura&amp;artigo_id=556" TargetMode="External"/><Relationship Id="rId57" Type="http://schemas.openxmlformats.org/officeDocument/2006/relationships/header" Target="header2.xml"/><Relationship Id="rId10" Type="http://schemas.openxmlformats.org/officeDocument/2006/relationships/package" Target="embeddings/Slide_do_Microsoft_Office_PowerPoint1.sldx"/><Relationship Id="rId19" Type="http://schemas.openxmlformats.org/officeDocument/2006/relationships/image" Target="media/image8.png"/><Relationship Id="rId31" Type="http://schemas.openxmlformats.org/officeDocument/2006/relationships/image" Target="media/image9.png"/><Relationship Id="rId44" Type="http://schemas.openxmlformats.org/officeDocument/2006/relationships/hyperlink" Target="http://www.ibge.gov.br/home/estatistica/economia/pam/2010/tabelas_pdf/tabela01.pdf" TargetMode="External"/><Relationship Id="rId52" Type="http://schemas.openxmlformats.org/officeDocument/2006/relationships/hyperlink" Target="http://www.socresonline.org.uk/15/3/4.html"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3.png"/><Relationship Id="rId22" Type="http://schemas.openxmlformats.org/officeDocument/2006/relationships/diagramQuickStyle" Target="diagrams/quickStyle1.xml"/><Relationship Id="rId27" Type="http://schemas.openxmlformats.org/officeDocument/2006/relationships/diagramLayout" Target="diagrams/layout2.xml"/><Relationship Id="rId30" Type="http://schemas.microsoft.com/office/2007/relationships/diagramDrawing" Target="diagrams/drawing2.xml"/><Relationship Id="rId35" Type="http://schemas.openxmlformats.org/officeDocument/2006/relationships/hyperlink" Target="http://www.infopetro.wordpress.com" TargetMode="External"/><Relationship Id="rId43" Type="http://schemas.openxmlformats.org/officeDocument/2006/relationships/hyperlink" Target="http://www.isosugar.org" TargetMode="External"/><Relationship Id="rId48" Type="http://schemas.openxmlformats.org/officeDocument/2006/relationships/hyperlink" Target="http://www.agri-outlook.org" TargetMode="External"/><Relationship Id="rId56" Type="http://schemas.openxmlformats.org/officeDocument/2006/relationships/hyperlink" Target="http://ssrn.com/abstract=1805008" TargetMode="External"/><Relationship Id="rId8" Type="http://schemas.openxmlformats.org/officeDocument/2006/relationships/header" Target="header1.xml"/><Relationship Id="rId51" Type="http://schemas.openxmlformats.org/officeDocument/2006/relationships/hyperlink" Target="http://www.pikeresearch.com/research/biofuels-markets-and-technologies"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gevo.com/wp-content/uploads/2012/04/chronological_timeline.pdf" TargetMode="External"/><Relationship Id="rId13" Type="http://schemas.openxmlformats.org/officeDocument/2006/relationships/hyperlink" Target="http://www.amyris.com" TargetMode="External"/><Relationship Id="rId3" Type="http://schemas.openxmlformats.org/officeDocument/2006/relationships/hyperlink" Target="http://www.camara.gov.br" TargetMode="External"/><Relationship Id="rId7" Type="http://schemas.openxmlformats.org/officeDocument/2006/relationships/hyperlink" Target="http://www.infopetro.wordpress.com" TargetMode="External"/><Relationship Id="rId12" Type="http://schemas.openxmlformats.org/officeDocument/2006/relationships/hyperlink" Target="http://www.epa.gov/otaq/fuels/registrationfuels/documents/420f12026.pdf" TargetMode="External"/><Relationship Id="rId2" Type="http://schemas.openxmlformats.org/officeDocument/2006/relationships/hyperlink" Target="http://www.agenciabrasil.ebc.com.br" TargetMode="External"/><Relationship Id="rId1" Type="http://schemas.openxmlformats.org/officeDocument/2006/relationships/hyperlink" Target="http://www.advivo.com.br/blog/roberto-sao-paulo-sp-2012/custo-da-producao-de-etanol-de-segunda-geracao" TargetMode="External"/><Relationship Id="rId6" Type="http://schemas.openxmlformats.org/officeDocument/2006/relationships/hyperlink" Target="http://www.biodieselmagazine.com" TargetMode="External"/><Relationship Id="rId11" Type="http://schemas.openxmlformats.org/officeDocument/2006/relationships/hyperlink" Target="http://www.butanol.com/index.html" TargetMode="External"/><Relationship Id="rId5" Type="http://schemas.openxmlformats.org/officeDocument/2006/relationships/hyperlink" Target="http://www.shell.com" TargetMode="External"/><Relationship Id="rId10" Type="http://schemas.openxmlformats.org/officeDocument/2006/relationships/hyperlink" Target="http://www.afdc.energy.gov/afdc/fuels/emerging_biobutanol_what_is.html" TargetMode="External"/><Relationship Id="rId4" Type="http://schemas.openxmlformats.org/officeDocument/2006/relationships/hyperlink" Target="http://www.nipeunicamp.org.br/sabb/index.php?option=com_content&amp;view=frontpage&amp;Itemid=1" TargetMode="External"/><Relationship Id="rId9" Type="http://schemas.openxmlformats.org/officeDocument/2006/relationships/hyperlink" Target="http://www.epa.gov/fedrgstr/EPA-AIR/2008/April/Day-25/a8944.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inaie\Dropbox\UFRJ\Disserta&#231;&#227;o\Produ&#231;&#227;o%20etanol%20tot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naie\Dropbox\UFRJ\MPR\Biodiesel\Gr&#225;fic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inaie\Dropbox\UFRJ\Disserta&#231;&#227;o\RFS2%20Volum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barChart>
        <c:barDir val="col"/>
        <c:grouping val="stacked"/>
        <c:ser>
          <c:idx val="0"/>
          <c:order val="0"/>
          <c:tx>
            <c:strRef>
              <c:f>'Hist. de Prd. e Moag. - Produto'!$A$7</c:f>
              <c:strCache>
                <c:ptCount val="1"/>
                <c:pt idx="0">
                  <c:v>Produção de  Etanol Total,  1990/1991 - 2011/2012 </c:v>
                </c:pt>
              </c:strCache>
            </c:strRef>
          </c:tx>
          <c:cat>
            <c:strRef>
              <c:f>'Hist. de Prd. e Moag. - Produto'!$M$10:$W$10</c:f>
              <c:strCache>
                <c:ptCount val="11"/>
                <c:pt idx="0">
                  <c:v>2001/2002</c:v>
                </c:pt>
                <c:pt idx="1">
                  <c:v>2002/2003</c:v>
                </c:pt>
                <c:pt idx="2">
                  <c:v>2003/2004</c:v>
                </c:pt>
                <c:pt idx="3">
                  <c:v>2004/2005</c:v>
                </c:pt>
                <c:pt idx="4">
                  <c:v>2005/2006</c:v>
                </c:pt>
                <c:pt idx="5">
                  <c:v>2006/2007</c:v>
                </c:pt>
                <c:pt idx="6">
                  <c:v>2007/2008</c:v>
                </c:pt>
                <c:pt idx="7">
                  <c:v>2008/2009</c:v>
                </c:pt>
                <c:pt idx="8">
                  <c:v>2009/2010</c:v>
                </c:pt>
                <c:pt idx="9">
                  <c:v>2010/2011</c:v>
                </c:pt>
                <c:pt idx="10">
                  <c:v>2011/2012</c:v>
                </c:pt>
              </c:strCache>
            </c:strRef>
          </c:cat>
          <c:val>
            <c:numRef>
              <c:f>'Hist. de Prd. e Moag. - Produto'!$M$38:$W$38</c:f>
              <c:numCache>
                <c:formatCode>General</c:formatCode>
                <c:ptCount val="11"/>
                <c:pt idx="0">
                  <c:v>10.176290000000002</c:v>
                </c:pt>
                <c:pt idx="1">
                  <c:v>12.623224999999998</c:v>
                </c:pt>
                <c:pt idx="2">
                  <c:v>14.808705</c:v>
                </c:pt>
                <c:pt idx="3">
                  <c:v>15.416668</c:v>
                </c:pt>
                <c:pt idx="4">
                  <c:v>15.924441</c:v>
                </c:pt>
                <c:pt idx="5">
                  <c:v>17.710487000000001</c:v>
                </c:pt>
                <c:pt idx="6">
                  <c:v>22.422005999999989</c:v>
                </c:pt>
                <c:pt idx="7">
                  <c:v>27.512964000000135</c:v>
                </c:pt>
                <c:pt idx="8">
                  <c:v>25.694488000000035</c:v>
                </c:pt>
                <c:pt idx="9">
                  <c:v>27.376189</c:v>
                </c:pt>
                <c:pt idx="10">
                  <c:v>22.649213</c:v>
                </c:pt>
              </c:numCache>
            </c:numRef>
          </c:val>
        </c:ser>
        <c:overlap val="100"/>
        <c:axId val="68781568"/>
        <c:axId val="68783104"/>
      </c:barChart>
      <c:catAx>
        <c:axId val="68781568"/>
        <c:scaling>
          <c:orientation val="minMax"/>
        </c:scaling>
        <c:axPos val="b"/>
        <c:tickLblPos val="nextTo"/>
        <c:txPr>
          <a:bodyPr rot="-2160000"/>
          <a:lstStyle/>
          <a:p>
            <a:pPr>
              <a:defRPr/>
            </a:pPr>
            <a:endParaRPr lang="pt-BR"/>
          </a:p>
        </c:txPr>
        <c:crossAx val="68783104"/>
        <c:crosses val="autoZero"/>
        <c:auto val="1"/>
        <c:lblAlgn val="ctr"/>
        <c:lblOffset val="100"/>
      </c:catAx>
      <c:valAx>
        <c:axId val="68783104"/>
        <c:scaling>
          <c:orientation val="minMax"/>
        </c:scaling>
        <c:axPos val="l"/>
        <c:majorGridlines/>
        <c:numFmt formatCode="#,##0.00" sourceLinked="0"/>
        <c:tickLblPos val="nextTo"/>
        <c:crossAx val="68781568"/>
        <c:crosses val="autoZero"/>
        <c:crossBetween val="between"/>
      </c:valAx>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pieChart>
        <c:varyColors val="1"/>
        <c:ser>
          <c:idx val="0"/>
          <c:order val="0"/>
          <c:tx>
            <c:strRef>
              <c:f>Plan1!$N$1</c:f>
              <c:strCache>
                <c:ptCount val="1"/>
                <c:pt idx="0">
                  <c:v>Capacidade</c:v>
                </c:pt>
              </c:strCache>
            </c:strRef>
          </c:tx>
          <c:dLbls>
            <c:dLbl>
              <c:idx val="0"/>
              <c:layout>
                <c:manualLayout>
                  <c:x val="-1.5486477233824276E-2"/>
                  <c:y val="7.8696412948383188E-3"/>
                </c:manualLayout>
              </c:layout>
              <c:showCatName val="1"/>
              <c:showPercent val="1"/>
            </c:dLbl>
            <c:dLbl>
              <c:idx val="1"/>
              <c:layout>
                <c:manualLayout>
                  <c:x val="3.3041993467115421E-2"/>
                  <c:y val="2.1871982582095235E-2"/>
                </c:manualLayout>
              </c:layout>
              <c:showCatName val="1"/>
              <c:showPercent val="1"/>
            </c:dLbl>
            <c:dLbl>
              <c:idx val="2"/>
              <c:layout>
                <c:manualLayout>
                  <c:x val="1.8696908139620726E-2"/>
                  <c:y val="-1.9086002240423741E-2"/>
                </c:manualLayout>
              </c:layout>
              <c:showCatName val="1"/>
              <c:showPercent val="1"/>
            </c:dLbl>
            <c:dLbl>
              <c:idx val="3"/>
              <c:layout>
                <c:manualLayout>
                  <c:x val="5.3260869565217395E-4"/>
                  <c:y val="-1.7755030621172355E-2"/>
                </c:manualLayout>
              </c:layout>
              <c:showCatName val="1"/>
              <c:showPercent val="1"/>
            </c:dLbl>
            <c:dLbl>
              <c:idx val="4"/>
              <c:layout>
                <c:manualLayout>
                  <c:x val="1.0380820606369858E-2"/>
                  <c:y val="-1.4334454986256328E-2"/>
                </c:manualLayout>
              </c:layout>
              <c:showCatName val="1"/>
              <c:showPercent val="1"/>
            </c:dLbl>
            <c:dLbl>
              <c:idx val="5"/>
              <c:layout>
                <c:manualLayout>
                  <c:x val="1.9667667124978527E-2"/>
                  <c:y val="-1.5991743322002625E-2"/>
                </c:manualLayout>
              </c:layout>
              <c:showCatName val="1"/>
              <c:showPercent val="1"/>
            </c:dLbl>
            <c:dLbl>
              <c:idx val="14"/>
              <c:layout>
                <c:manualLayout>
                  <c:x val="1.0804618433372781E-2"/>
                  <c:y val="-3.3642271477697001E-2"/>
                </c:manualLayout>
              </c:layout>
              <c:showCatName val="1"/>
              <c:showPercent val="1"/>
            </c:dLbl>
            <c:dLbl>
              <c:idx val="15"/>
              <c:delete val="1"/>
            </c:dLbl>
            <c:dLbl>
              <c:idx val="16"/>
              <c:delete val="1"/>
            </c:dLbl>
            <c:dLbl>
              <c:idx val="17"/>
              <c:layout>
                <c:manualLayout>
                  <c:x val="-2.4771412688071033E-3"/>
                  <c:y val="4.6023464090118503E-2"/>
                </c:manualLayout>
              </c:layout>
              <c:showCatName val="1"/>
              <c:showPercent val="1"/>
            </c:dLbl>
            <c:txPr>
              <a:bodyPr/>
              <a:lstStyle/>
              <a:p>
                <a:pPr>
                  <a:defRPr sz="800" baseline="0"/>
                </a:pPr>
                <a:endParaRPr lang="pt-BR"/>
              </a:p>
            </c:txPr>
            <c:showCatName val="1"/>
            <c:showPercent val="1"/>
          </c:dLbls>
          <c:cat>
            <c:strRef>
              <c:f>Plan1!$M$2:$M$19</c:f>
              <c:strCache>
                <c:ptCount val="18"/>
                <c:pt idx="0">
                  <c:v>Granol</c:v>
                </c:pt>
                <c:pt idx="1">
                  <c:v>Brasil Ecodiesel</c:v>
                </c:pt>
                <c:pt idx="2">
                  <c:v>Caramuru</c:v>
                </c:pt>
                <c:pt idx="3">
                  <c:v>PETROBRAS</c:v>
                </c:pt>
                <c:pt idx="4">
                  <c:v>Oleoplan</c:v>
                </c:pt>
                <c:pt idx="5">
                  <c:v>ADM </c:v>
                </c:pt>
                <c:pt idx="6">
                  <c:v>Biocapital</c:v>
                </c:pt>
                <c:pt idx="7">
                  <c:v>JBS S.A.</c:v>
                </c:pt>
                <c:pt idx="8">
                  <c:v>Agrenco </c:v>
                </c:pt>
                <c:pt idx="9">
                  <c:v>Bionasa</c:v>
                </c:pt>
                <c:pt idx="10">
                  <c:v>Olfar</c:v>
                </c:pt>
                <c:pt idx="11">
                  <c:v>Fiagril Ltda.</c:v>
                </c:pt>
                <c:pt idx="12">
                  <c:v>Bioverde </c:v>
                </c:pt>
                <c:pt idx="13">
                  <c:v>Binatural </c:v>
                </c:pt>
                <c:pt idx="14">
                  <c:v>BSBIOS Indústria</c:v>
                </c:pt>
                <c:pt idx="15">
                  <c:v>Camera</c:v>
                </c:pt>
                <c:pt idx="16">
                  <c:v>BSBIOS Marialva</c:v>
                </c:pt>
                <c:pt idx="17">
                  <c:v>Outros</c:v>
                </c:pt>
              </c:strCache>
            </c:strRef>
          </c:cat>
          <c:val>
            <c:numRef>
              <c:f>Plan1!$N$2:$N$19</c:f>
              <c:numCache>
                <c:formatCode>#,##0.0</c:formatCode>
                <c:ptCount val="18"/>
                <c:pt idx="0">
                  <c:v>556678.80000000005</c:v>
                </c:pt>
                <c:pt idx="1">
                  <c:v>518400</c:v>
                </c:pt>
                <c:pt idx="2">
                  <c:v>450000</c:v>
                </c:pt>
                <c:pt idx="3">
                  <c:v>434462.4</c:v>
                </c:pt>
                <c:pt idx="4">
                  <c:v>378000</c:v>
                </c:pt>
                <c:pt idx="5">
                  <c:v>343800</c:v>
                </c:pt>
                <c:pt idx="6">
                  <c:v>296640</c:v>
                </c:pt>
                <c:pt idx="7">
                  <c:v>237682.8</c:v>
                </c:pt>
                <c:pt idx="8">
                  <c:v>235294.11764705917</c:v>
                </c:pt>
                <c:pt idx="9">
                  <c:v>235080</c:v>
                </c:pt>
                <c:pt idx="10">
                  <c:v>216000</c:v>
                </c:pt>
                <c:pt idx="11">
                  <c:v>202680</c:v>
                </c:pt>
                <c:pt idx="12">
                  <c:v>181177.2</c:v>
                </c:pt>
                <c:pt idx="13">
                  <c:v>162000</c:v>
                </c:pt>
                <c:pt idx="14">
                  <c:v>159840</c:v>
                </c:pt>
                <c:pt idx="15">
                  <c:v>144000</c:v>
                </c:pt>
                <c:pt idx="16">
                  <c:v>127080</c:v>
                </c:pt>
                <c:pt idx="17">
                  <c:v>1306492.6941176569</c:v>
                </c:pt>
              </c:numCache>
            </c:numRef>
          </c:val>
        </c:ser>
        <c:ser>
          <c:idx val="1"/>
          <c:order val="1"/>
          <c:tx>
            <c:strRef>
              <c:f>Plan1!$O$1</c:f>
              <c:strCache>
                <c:ptCount val="1"/>
                <c:pt idx="0">
                  <c:v>% no total</c:v>
                </c:pt>
              </c:strCache>
            </c:strRef>
          </c:tx>
          <c:cat>
            <c:strRef>
              <c:f>Plan1!$M$2:$M$19</c:f>
              <c:strCache>
                <c:ptCount val="18"/>
                <c:pt idx="0">
                  <c:v>Granol</c:v>
                </c:pt>
                <c:pt idx="1">
                  <c:v>Brasil Ecodiesel</c:v>
                </c:pt>
                <c:pt idx="2">
                  <c:v>Caramuru</c:v>
                </c:pt>
                <c:pt idx="3">
                  <c:v>PETROBRAS</c:v>
                </c:pt>
                <c:pt idx="4">
                  <c:v>Oleoplan</c:v>
                </c:pt>
                <c:pt idx="5">
                  <c:v>ADM </c:v>
                </c:pt>
                <c:pt idx="6">
                  <c:v>Biocapital</c:v>
                </c:pt>
                <c:pt idx="7">
                  <c:v>JBS S.A.</c:v>
                </c:pt>
                <c:pt idx="8">
                  <c:v>Agrenco </c:v>
                </c:pt>
                <c:pt idx="9">
                  <c:v>Bionasa</c:v>
                </c:pt>
                <c:pt idx="10">
                  <c:v>Olfar</c:v>
                </c:pt>
                <c:pt idx="11">
                  <c:v>Fiagril Ltda.</c:v>
                </c:pt>
                <c:pt idx="12">
                  <c:v>Bioverde </c:v>
                </c:pt>
                <c:pt idx="13">
                  <c:v>Binatural </c:v>
                </c:pt>
                <c:pt idx="14">
                  <c:v>BSBIOS Indústria</c:v>
                </c:pt>
                <c:pt idx="15">
                  <c:v>Camera</c:v>
                </c:pt>
                <c:pt idx="16">
                  <c:v>BSBIOS Marialva</c:v>
                </c:pt>
                <c:pt idx="17">
                  <c:v>Outros</c:v>
                </c:pt>
              </c:strCache>
            </c:strRef>
          </c:cat>
          <c:val>
            <c:numRef>
              <c:f>Plan1!$O$2:$O$19</c:f>
              <c:numCache>
                <c:formatCode>0.00%</c:formatCode>
                <c:ptCount val="18"/>
                <c:pt idx="0">
                  <c:v>9.0000174436127414E-2</c:v>
                </c:pt>
                <c:pt idx="1">
                  <c:v>8.3811509307860368E-2</c:v>
                </c:pt>
                <c:pt idx="2">
                  <c:v>7.2753046274184219E-2</c:v>
                </c:pt>
                <c:pt idx="3">
                  <c:v>7.0241029092429186E-2</c:v>
                </c:pt>
                <c:pt idx="4">
                  <c:v>6.1112558870314727E-2</c:v>
                </c:pt>
                <c:pt idx="5">
                  <c:v>5.5583327353477013E-2</c:v>
                </c:pt>
                <c:pt idx="6">
                  <c:v>4.7958808103942228E-2</c:v>
                </c:pt>
                <c:pt idx="7">
                  <c:v>3.8426994993283704E-2</c:v>
                </c:pt>
                <c:pt idx="8">
                  <c:v>3.8040808509377452E-2</c:v>
                </c:pt>
                <c:pt idx="9">
                  <c:v>3.8006191373633834E-2</c:v>
                </c:pt>
                <c:pt idx="10">
                  <c:v>3.4921462211608419E-2</c:v>
                </c:pt>
                <c:pt idx="11">
                  <c:v>3.2767972041892586E-2</c:v>
                </c:pt>
                <c:pt idx="12">
                  <c:v>2.9291540478727215E-2</c:v>
                </c:pt>
                <c:pt idx="13">
                  <c:v>2.6191096658706316E-2</c:v>
                </c:pt>
                <c:pt idx="14">
                  <c:v>2.5841882036590252E-2</c:v>
                </c:pt>
                <c:pt idx="15">
                  <c:v>2.3280974807738948E-2</c:v>
                </c:pt>
                <c:pt idx="16">
                  <c:v>2.0545460267829642E-2</c:v>
                </c:pt>
                <c:pt idx="17">
                  <c:v>0.21122516318227852</c:v>
                </c:pt>
              </c:numCache>
            </c:numRef>
          </c:val>
        </c:ser>
        <c:firstSliceAng val="0"/>
      </c:pieChart>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plotArea>
      <c:layout/>
      <c:lineChart>
        <c:grouping val="standard"/>
        <c:ser>
          <c:idx val="0"/>
          <c:order val="0"/>
          <c:tx>
            <c:strRef>
              <c:f>Plan1!$H$2</c:f>
              <c:strCache>
                <c:ptCount val="1"/>
                <c:pt idx="0">
                  <c:v>Celulósico</c:v>
                </c:pt>
              </c:strCache>
            </c:strRef>
          </c:tx>
          <c:marker>
            <c:symbol val="none"/>
          </c:marker>
          <c:cat>
            <c:numRef>
              <c:f>Plan1!$G$3:$G$16</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Plan1!$H$3:$H$16</c:f>
              <c:numCache>
                <c:formatCode>0.0</c:formatCode>
                <c:ptCount val="14"/>
                <c:pt idx="0">
                  <c:v>0</c:v>
                </c:pt>
                <c:pt idx="1">
                  <c:v>0.37854100000000002</c:v>
                </c:pt>
                <c:pt idx="2">
                  <c:v>0.94635249999999949</c:v>
                </c:pt>
                <c:pt idx="3">
                  <c:v>1.8927050000000001</c:v>
                </c:pt>
                <c:pt idx="4">
                  <c:v>3.7854100000000002</c:v>
                </c:pt>
                <c:pt idx="5">
                  <c:v>6.6244674999999855</c:v>
                </c:pt>
                <c:pt idx="6">
                  <c:v>11.356230000000076</c:v>
                </c:pt>
                <c:pt idx="7">
                  <c:v>16.087992500000002</c:v>
                </c:pt>
                <c:pt idx="8">
                  <c:v>20.819755000000224</c:v>
                </c:pt>
                <c:pt idx="9">
                  <c:v>26.497870000000031</c:v>
                </c:pt>
                <c:pt idx="10">
                  <c:v>32.175985000000011</c:v>
                </c:pt>
                <c:pt idx="11">
                  <c:v>39.746805000000002</c:v>
                </c:pt>
                <c:pt idx="12">
                  <c:v>51.103035000000013</c:v>
                </c:pt>
                <c:pt idx="13">
                  <c:v>60.566560000000003</c:v>
                </c:pt>
              </c:numCache>
            </c:numRef>
          </c:val>
        </c:ser>
        <c:ser>
          <c:idx val="1"/>
          <c:order val="1"/>
          <c:tx>
            <c:strRef>
              <c:f>Plan1!$I$2</c:f>
              <c:strCache>
                <c:ptCount val="1"/>
                <c:pt idx="0">
                  <c:v>Diesel de Biomassa</c:v>
                </c:pt>
              </c:strCache>
            </c:strRef>
          </c:tx>
          <c:marker>
            <c:symbol val="none"/>
          </c:marker>
          <c:cat>
            <c:numRef>
              <c:f>Plan1!$G$3:$G$16</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Plan1!$I$3:$I$16</c:f>
              <c:numCache>
                <c:formatCode>0.0</c:formatCode>
                <c:ptCount val="14"/>
                <c:pt idx="0">
                  <c:v>1.8927050000000001</c:v>
                </c:pt>
                <c:pt idx="1">
                  <c:v>2.4605165000000002</c:v>
                </c:pt>
                <c:pt idx="2">
                  <c:v>3.0283280000000001</c:v>
                </c:pt>
                <c:pt idx="3">
                  <c:v>3.7854100000000002</c:v>
                </c:pt>
                <c:pt idx="4">
                  <c:v>3.7854100000000002</c:v>
                </c:pt>
                <c:pt idx="5">
                  <c:v>3.7854100000000002</c:v>
                </c:pt>
                <c:pt idx="6">
                  <c:v>3.7854100000000002</c:v>
                </c:pt>
                <c:pt idx="7">
                  <c:v>3.7854100000000002</c:v>
                </c:pt>
                <c:pt idx="8">
                  <c:v>3.7854100000000002</c:v>
                </c:pt>
                <c:pt idx="9">
                  <c:v>3.7854100000000002</c:v>
                </c:pt>
                <c:pt idx="10">
                  <c:v>3.7854100000000002</c:v>
                </c:pt>
                <c:pt idx="11">
                  <c:v>3.7854100000000002</c:v>
                </c:pt>
                <c:pt idx="12">
                  <c:v>3.7854100000000002</c:v>
                </c:pt>
                <c:pt idx="13">
                  <c:v>3.7854100000000002</c:v>
                </c:pt>
              </c:numCache>
            </c:numRef>
          </c:val>
        </c:ser>
        <c:ser>
          <c:idx val="2"/>
          <c:order val="2"/>
          <c:tx>
            <c:strRef>
              <c:f>Plan1!$J$2</c:f>
              <c:strCache>
                <c:ptCount val="1"/>
                <c:pt idx="0">
                  <c:v>Biocombustível avançado</c:v>
                </c:pt>
              </c:strCache>
            </c:strRef>
          </c:tx>
          <c:marker>
            <c:symbol val="none"/>
          </c:marker>
          <c:cat>
            <c:numRef>
              <c:f>Plan1!$G$3:$G$16</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Plan1!$J$3:$J$16</c:f>
              <c:numCache>
                <c:formatCode>0.0</c:formatCode>
                <c:ptCount val="14"/>
                <c:pt idx="0">
                  <c:v>2.2712459999999663</c:v>
                </c:pt>
                <c:pt idx="1">
                  <c:v>3.5961395</c:v>
                </c:pt>
                <c:pt idx="2">
                  <c:v>5.1103035000000006</c:v>
                </c:pt>
                <c:pt idx="3">
                  <c:v>7.5708200000000003</c:v>
                </c:pt>
                <c:pt idx="4">
                  <c:v>10.4098775</c:v>
                </c:pt>
                <c:pt idx="5">
                  <c:v>14.195287500000004</c:v>
                </c:pt>
                <c:pt idx="6">
                  <c:v>20.819755000000224</c:v>
                </c:pt>
                <c:pt idx="7">
                  <c:v>27.444222499999789</c:v>
                </c:pt>
                <c:pt idx="8">
                  <c:v>34.068690000000011</c:v>
                </c:pt>
                <c:pt idx="9">
                  <c:v>41.639510000000406</c:v>
                </c:pt>
                <c:pt idx="10">
                  <c:v>49.210330000000013</c:v>
                </c:pt>
                <c:pt idx="11">
                  <c:v>56.781150000000011</c:v>
                </c:pt>
                <c:pt idx="12">
                  <c:v>68.137379999999979</c:v>
                </c:pt>
                <c:pt idx="13">
                  <c:v>79.493610000000928</c:v>
                </c:pt>
              </c:numCache>
            </c:numRef>
          </c:val>
        </c:ser>
        <c:ser>
          <c:idx val="3"/>
          <c:order val="3"/>
          <c:tx>
            <c:strRef>
              <c:f>Plan1!$K$2</c:f>
              <c:strCache>
                <c:ptCount val="1"/>
                <c:pt idx="0">
                  <c:v>Renovável</c:v>
                </c:pt>
              </c:strCache>
            </c:strRef>
          </c:tx>
          <c:marker>
            <c:symbol val="none"/>
          </c:marker>
          <c:cat>
            <c:numRef>
              <c:f>Plan1!$G$3:$G$16</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Plan1!$K$3:$K$16</c:f>
              <c:numCache>
                <c:formatCode>0.0</c:formatCode>
                <c:ptCount val="14"/>
                <c:pt idx="0">
                  <c:v>39.746805000000002</c:v>
                </c:pt>
                <c:pt idx="1">
                  <c:v>45.42492</c:v>
                </c:pt>
                <c:pt idx="2">
                  <c:v>47.696166000000012</c:v>
                </c:pt>
                <c:pt idx="3">
                  <c:v>49.967412000000003</c:v>
                </c:pt>
                <c:pt idx="4">
                  <c:v>52.238658000000363</c:v>
                </c:pt>
                <c:pt idx="5">
                  <c:v>54.509904000000006</c:v>
                </c:pt>
                <c:pt idx="6">
                  <c:v>56.781150000000011</c:v>
                </c:pt>
                <c:pt idx="7">
                  <c:v>56.781150000000011</c:v>
                </c:pt>
                <c:pt idx="8">
                  <c:v>56.781150000000011</c:v>
                </c:pt>
                <c:pt idx="9">
                  <c:v>56.781150000000011</c:v>
                </c:pt>
                <c:pt idx="10">
                  <c:v>56.781150000000011</c:v>
                </c:pt>
                <c:pt idx="11">
                  <c:v>56.781150000000011</c:v>
                </c:pt>
                <c:pt idx="12">
                  <c:v>56.781150000000011</c:v>
                </c:pt>
                <c:pt idx="13">
                  <c:v>56.781150000000011</c:v>
                </c:pt>
              </c:numCache>
            </c:numRef>
          </c:val>
        </c:ser>
        <c:ser>
          <c:idx val="4"/>
          <c:order val="4"/>
          <c:tx>
            <c:strRef>
              <c:f>Plan1!$L$2</c:f>
              <c:strCache>
                <c:ptCount val="1"/>
                <c:pt idx="0">
                  <c:v>Total</c:v>
                </c:pt>
              </c:strCache>
            </c:strRef>
          </c:tx>
          <c:spPr>
            <a:ln>
              <a:solidFill>
                <a:schemeClr val="accent6">
                  <a:lumMod val="75000"/>
                </a:schemeClr>
              </a:solidFill>
            </a:ln>
          </c:spPr>
          <c:marker>
            <c:symbol val="none"/>
          </c:marker>
          <c:cat>
            <c:numRef>
              <c:f>Plan1!$G$3:$G$16</c:f>
              <c:numCache>
                <c:formatCode>General</c:formatCod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numCache>
            </c:numRef>
          </c:cat>
          <c:val>
            <c:numRef>
              <c:f>Plan1!$L$3:$L$16</c:f>
              <c:numCache>
                <c:formatCode>0.0</c:formatCode>
                <c:ptCount val="14"/>
                <c:pt idx="0">
                  <c:v>42.018051</c:v>
                </c:pt>
                <c:pt idx="1">
                  <c:v>49.0210595</c:v>
                </c:pt>
                <c:pt idx="2">
                  <c:v>52.806469499999508</c:v>
                </c:pt>
                <c:pt idx="3">
                  <c:v>57.538232000000313</c:v>
                </c:pt>
                <c:pt idx="4">
                  <c:v>62.648535500000413</c:v>
                </c:pt>
                <c:pt idx="5">
                  <c:v>68.705191499999998</c:v>
                </c:pt>
                <c:pt idx="6">
                  <c:v>77.600904999999983</c:v>
                </c:pt>
                <c:pt idx="7">
                  <c:v>84.225372499998784</c:v>
                </c:pt>
                <c:pt idx="8">
                  <c:v>90.84984</c:v>
                </c:pt>
                <c:pt idx="9">
                  <c:v>98.420660000000026</c:v>
                </c:pt>
                <c:pt idx="10">
                  <c:v>105.99148000000002</c:v>
                </c:pt>
                <c:pt idx="11">
                  <c:v>113.56230000000001</c:v>
                </c:pt>
                <c:pt idx="12">
                  <c:v>124.91853</c:v>
                </c:pt>
                <c:pt idx="13">
                  <c:v>136.27475999999768</c:v>
                </c:pt>
              </c:numCache>
            </c:numRef>
          </c:val>
        </c:ser>
        <c:marker val="1"/>
        <c:axId val="99943936"/>
        <c:axId val="99945472"/>
      </c:lineChart>
      <c:catAx>
        <c:axId val="99943936"/>
        <c:scaling>
          <c:orientation val="minMax"/>
        </c:scaling>
        <c:axPos val="b"/>
        <c:numFmt formatCode="General" sourceLinked="1"/>
        <c:tickLblPos val="nextTo"/>
        <c:txPr>
          <a:bodyPr rot="-2160000"/>
          <a:lstStyle/>
          <a:p>
            <a:pPr>
              <a:defRPr sz="800" b="0" i="0" baseline="0">
                <a:latin typeface="Times New Roman" pitchFamily="18" charset="0"/>
              </a:defRPr>
            </a:pPr>
            <a:endParaRPr lang="pt-BR"/>
          </a:p>
        </c:txPr>
        <c:crossAx val="99945472"/>
        <c:crosses val="autoZero"/>
        <c:auto val="1"/>
        <c:lblAlgn val="ctr"/>
        <c:lblOffset val="100"/>
      </c:catAx>
      <c:valAx>
        <c:axId val="99945472"/>
        <c:scaling>
          <c:orientation val="minMax"/>
          <c:max val="140"/>
        </c:scaling>
        <c:axPos val="l"/>
        <c:majorGridlines/>
        <c:numFmt formatCode="0.0" sourceLinked="1"/>
        <c:tickLblPos val="nextTo"/>
        <c:txPr>
          <a:bodyPr/>
          <a:lstStyle/>
          <a:p>
            <a:pPr>
              <a:defRPr sz="1000" b="1" i="0" baseline="0">
                <a:latin typeface="Times New Roman" pitchFamily="18" charset="0"/>
              </a:defRPr>
            </a:pPr>
            <a:endParaRPr lang="pt-BR"/>
          </a:p>
        </c:txPr>
        <c:crossAx val="99943936"/>
        <c:crosses val="autoZero"/>
        <c:crossBetween val="between"/>
      </c:valAx>
      <c:spPr>
        <a:ln>
          <a:noFill/>
        </a:ln>
      </c:spPr>
    </c:plotArea>
    <c:legend>
      <c:legendPos val="r"/>
      <c:layout>
        <c:manualLayout>
          <c:xMode val="edge"/>
          <c:yMode val="edge"/>
          <c:x val="0.7351834430856069"/>
          <c:y val="0.16234695764859389"/>
          <c:w val="0.25070555032925684"/>
          <c:h val="0.62621210255971083"/>
        </c:manualLayout>
      </c:layout>
      <c:spPr>
        <a:ln>
          <a:noFill/>
        </a:ln>
      </c:spPr>
      <c:txPr>
        <a:bodyPr/>
        <a:lstStyle/>
        <a:p>
          <a:pPr>
            <a:defRPr sz="1000" b="0" i="0" baseline="0">
              <a:latin typeface="Times New Roman" pitchFamily="18" charset="0"/>
            </a:defRPr>
          </a:pPr>
          <a:endParaRPr lang="pt-BR"/>
        </a:p>
      </c:txPr>
    </c:legend>
    <c:plotVisOnly val="1"/>
  </c:chart>
  <c:spPr>
    <a:ln>
      <a:noFill/>
    </a:ln>
  </c:sp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2D791A-3537-4B27-BC3D-88EA1C17729C}"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pt-BR"/>
        </a:p>
      </dgm:t>
    </dgm:pt>
    <dgm:pt modelId="{627EB0AD-B18E-4FDA-B291-FD75F0E3588A}">
      <dgm:prSet phldrT="[Texto]" custT="1"/>
      <dgm:spPr>
        <a:solidFill>
          <a:schemeClr val="accent3"/>
        </a:solidFill>
      </dgm:spPr>
      <dgm:t>
        <a:bodyPr/>
        <a:lstStyle/>
        <a:p>
          <a:pPr>
            <a:lnSpc>
              <a:spcPct val="100000"/>
            </a:lnSpc>
            <a:spcAft>
              <a:spcPts val="0"/>
            </a:spcAft>
          </a:pPr>
          <a:r>
            <a:rPr lang="pt-BR" sz="1200"/>
            <a:t>Renováveis </a:t>
          </a:r>
        </a:p>
        <a:p>
          <a:pPr>
            <a:lnSpc>
              <a:spcPct val="100000"/>
            </a:lnSpc>
            <a:spcAft>
              <a:spcPts val="0"/>
            </a:spcAft>
          </a:pPr>
          <a:r>
            <a:rPr lang="pt-BR" sz="1200" b="1" baseline="0">
              <a:solidFill>
                <a:srgbClr val="FFFF00"/>
              </a:solidFill>
            </a:rPr>
            <a:t>20%</a:t>
          </a:r>
        </a:p>
      </dgm:t>
    </dgm:pt>
    <dgm:pt modelId="{3132A399-B641-48C0-A90E-0EBF4A457E53}" type="parTrans" cxnId="{91ED44E0-5914-4F20-BCED-059C12642C01}">
      <dgm:prSet/>
      <dgm:spPr/>
      <dgm:t>
        <a:bodyPr/>
        <a:lstStyle/>
        <a:p>
          <a:endParaRPr lang="pt-BR"/>
        </a:p>
      </dgm:t>
    </dgm:pt>
    <dgm:pt modelId="{D31A308D-312D-40EE-B263-0BF072609C32}" type="sibTrans" cxnId="{91ED44E0-5914-4F20-BCED-059C12642C01}">
      <dgm:prSet/>
      <dgm:spPr/>
      <dgm:t>
        <a:bodyPr/>
        <a:lstStyle/>
        <a:p>
          <a:endParaRPr lang="pt-BR"/>
        </a:p>
      </dgm:t>
    </dgm:pt>
    <dgm:pt modelId="{0622E71A-2CF0-4F2E-A80A-EA24E0070667}">
      <dgm:prSet phldrT="[Texto]" custT="1"/>
      <dgm:spPr>
        <a:solidFill>
          <a:schemeClr val="accent3">
            <a:lumMod val="50000"/>
          </a:schemeClr>
        </a:solidFill>
      </dgm:spPr>
      <dgm:t>
        <a:bodyPr/>
        <a:lstStyle/>
        <a:p>
          <a:r>
            <a:rPr lang="pt-BR" sz="1200"/>
            <a:t>Biocombustível celulósico</a:t>
          </a:r>
        </a:p>
        <a:p>
          <a:r>
            <a:rPr lang="pt-BR" sz="1200" b="1" baseline="0">
              <a:solidFill>
                <a:srgbClr val="FFFF00"/>
              </a:solidFill>
            </a:rPr>
            <a:t>60%</a:t>
          </a:r>
        </a:p>
      </dgm:t>
    </dgm:pt>
    <dgm:pt modelId="{CFA63CBF-AC0C-4CD5-8ACA-C7E945730DDB}" type="parTrans" cxnId="{4705E3C6-C721-4E1F-BBAA-CC6847AA28C8}">
      <dgm:prSet/>
      <dgm:spPr/>
      <dgm:t>
        <a:bodyPr/>
        <a:lstStyle/>
        <a:p>
          <a:endParaRPr lang="pt-BR"/>
        </a:p>
      </dgm:t>
    </dgm:pt>
    <dgm:pt modelId="{E69FDEA2-6EEA-4341-BBE8-239DF1AE5033}" type="sibTrans" cxnId="{4705E3C6-C721-4E1F-BBAA-CC6847AA28C8}">
      <dgm:prSet/>
      <dgm:spPr/>
      <dgm:t>
        <a:bodyPr/>
        <a:lstStyle/>
        <a:p>
          <a:endParaRPr lang="pt-BR"/>
        </a:p>
      </dgm:t>
    </dgm:pt>
    <dgm:pt modelId="{4C58A5F3-CA8D-42C3-85F9-90751990959E}">
      <dgm:prSet phldrT="[Texto]" custT="1"/>
      <dgm:spPr>
        <a:solidFill>
          <a:schemeClr val="accent3">
            <a:lumMod val="75000"/>
          </a:schemeClr>
        </a:solidFill>
      </dgm:spPr>
      <dgm:t>
        <a:bodyPr/>
        <a:lstStyle/>
        <a:p>
          <a:pPr>
            <a:lnSpc>
              <a:spcPct val="100000"/>
            </a:lnSpc>
            <a:spcAft>
              <a:spcPts val="0"/>
            </a:spcAft>
          </a:pPr>
          <a:endParaRPr lang="pt-BR" sz="1200"/>
        </a:p>
        <a:p>
          <a:pPr>
            <a:lnSpc>
              <a:spcPct val="100000"/>
            </a:lnSpc>
            <a:spcAft>
              <a:spcPts val="0"/>
            </a:spcAft>
          </a:pPr>
          <a:endParaRPr lang="pt-BR" sz="1200"/>
        </a:p>
        <a:p>
          <a:pPr>
            <a:lnSpc>
              <a:spcPct val="100000"/>
            </a:lnSpc>
            <a:spcAft>
              <a:spcPts val="0"/>
            </a:spcAft>
          </a:pPr>
          <a:endParaRPr lang="pt-BR" sz="1200"/>
        </a:p>
        <a:p>
          <a:pPr>
            <a:lnSpc>
              <a:spcPct val="100000"/>
            </a:lnSpc>
            <a:spcAft>
              <a:spcPts val="0"/>
            </a:spcAft>
          </a:pPr>
          <a:r>
            <a:rPr lang="pt-BR" sz="1200"/>
            <a:t>Biocombustível avançado </a:t>
          </a:r>
        </a:p>
        <a:p>
          <a:pPr>
            <a:lnSpc>
              <a:spcPct val="100000"/>
            </a:lnSpc>
            <a:spcAft>
              <a:spcPts val="0"/>
            </a:spcAft>
          </a:pPr>
          <a:r>
            <a:rPr lang="pt-BR" sz="1200"/>
            <a:t>e</a:t>
          </a:r>
        </a:p>
        <a:p>
          <a:pPr>
            <a:lnSpc>
              <a:spcPct val="100000"/>
            </a:lnSpc>
            <a:spcAft>
              <a:spcPts val="0"/>
            </a:spcAft>
          </a:pPr>
          <a:r>
            <a:rPr lang="pt-BR" sz="1200"/>
            <a:t>Diesel de biomassa</a:t>
          </a:r>
        </a:p>
        <a:p>
          <a:pPr>
            <a:lnSpc>
              <a:spcPct val="100000"/>
            </a:lnSpc>
            <a:spcAft>
              <a:spcPts val="0"/>
            </a:spcAft>
          </a:pPr>
          <a:r>
            <a:rPr lang="pt-BR" sz="1200" b="1" i="0" baseline="0">
              <a:solidFill>
                <a:srgbClr val="FFFF00"/>
              </a:solidFill>
            </a:rPr>
            <a:t>50%</a:t>
          </a:r>
        </a:p>
      </dgm:t>
    </dgm:pt>
    <dgm:pt modelId="{247EB1B0-A162-46D6-A1C3-4FEF61390139}" type="sibTrans" cxnId="{5DEBF22E-0BB8-4251-A7E5-69CEE6AFE475}">
      <dgm:prSet/>
      <dgm:spPr/>
      <dgm:t>
        <a:bodyPr/>
        <a:lstStyle/>
        <a:p>
          <a:endParaRPr lang="pt-BR"/>
        </a:p>
      </dgm:t>
    </dgm:pt>
    <dgm:pt modelId="{4D302D67-6B08-4DA4-B759-15D664B58AC0}" type="parTrans" cxnId="{5DEBF22E-0BB8-4251-A7E5-69CEE6AFE475}">
      <dgm:prSet/>
      <dgm:spPr/>
      <dgm:t>
        <a:bodyPr/>
        <a:lstStyle/>
        <a:p>
          <a:endParaRPr lang="pt-BR"/>
        </a:p>
      </dgm:t>
    </dgm:pt>
    <dgm:pt modelId="{A154D73C-78C1-4F87-898B-E2CE0C5706D2}" type="pres">
      <dgm:prSet presAssocID="{3F2D791A-3537-4B27-BC3D-88EA1C17729C}" presName="Name0" presStyleCnt="0">
        <dgm:presLayoutVars>
          <dgm:chMax val="7"/>
          <dgm:resizeHandles val="exact"/>
        </dgm:presLayoutVars>
      </dgm:prSet>
      <dgm:spPr/>
      <dgm:t>
        <a:bodyPr/>
        <a:lstStyle/>
        <a:p>
          <a:endParaRPr lang="pt-BR"/>
        </a:p>
      </dgm:t>
    </dgm:pt>
    <dgm:pt modelId="{D33682EA-C5B7-4678-8E1E-D044375244DA}" type="pres">
      <dgm:prSet presAssocID="{3F2D791A-3537-4B27-BC3D-88EA1C17729C}" presName="comp1" presStyleCnt="0"/>
      <dgm:spPr/>
    </dgm:pt>
    <dgm:pt modelId="{A91189BA-A39C-4859-AA17-0ED88F55FCA7}" type="pres">
      <dgm:prSet presAssocID="{3F2D791A-3537-4B27-BC3D-88EA1C17729C}" presName="circle1" presStyleLbl="node1" presStyleIdx="0" presStyleCnt="3" custScaleX="123685"/>
      <dgm:spPr/>
      <dgm:t>
        <a:bodyPr/>
        <a:lstStyle/>
        <a:p>
          <a:endParaRPr lang="pt-BR"/>
        </a:p>
      </dgm:t>
    </dgm:pt>
    <dgm:pt modelId="{5CB4B836-CA2D-492A-B67E-CD977A677455}" type="pres">
      <dgm:prSet presAssocID="{3F2D791A-3537-4B27-BC3D-88EA1C17729C}" presName="c1text" presStyleLbl="node1" presStyleIdx="0" presStyleCnt="3">
        <dgm:presLayoutVars>
          <dgm:bulletEnabled val="1"/>
        </dgm:presLayoutVars>
      </dgm:prSet>
      <dgm:spPr/>
      <dgm:t>
        <a:bodyPr/>
        <a:lstStyle/>
        <a:p>
          <a:endParaRPr lang="pt-BR"/>
        </a:p>
      </dgm:t>
    </dgm:pt>
    <dgm:pt modelId="{D423912C-CFDE-4220-A4B3-FDA569211C80}" type="pres">
      <dgm:prSet presAssocID="{3F2D791A-3537-4B27-BC3D-88EA1C17729C}" presName="comp2" presStyleCnt="0"/>
      <dgm:spPr/>
    </dgm:pt>
    <dgm:pt modelId="{D9A1B79A-7883-4E53-B8F4-27C006661FD7}" type="pres">
      <dgm:prSet presAssocID="{3F2D791A-3537-4B27-BC3D-88EA1C17729C}" presName="circle2" presStyleLbl="node1" presStyleIdx="1" presStyleCnt="3" custScaleX="144756" custScaleY="112073" custLinFactNeighborY="471"/>
      <dgm:spPr/>
      <dgm:t>
        <a:bodyPr/>
        <a:lstStyle/>
        <a:p>
          <a:endParaRPr lang="pt-BR"/>
        </a:p>
      </dgm:t>
    </dgm:pt>
    <dgm:pt modelId="{CAA83C26-EDFA-4D48-8C20-F95044083616}" type="pres">
      <dgm:prSet presAssocID="{3F2D791A-3537-4B27-BC3D-88EA1C17729C}" presName="c2text" presStyleLbl="node1" presStyleIdx="1" presStyleCnt="3">
        <dgm:presLayoutVars>
          <dgm:bulletEnabled val="1"/>
        </dgm:presLayoutVars>
      </dgm:prSet>
      <dgm:spPr/>
      <dgm:t>
        <a:bodyPr/>
        <a:lstStyle/>
        <a:p>
          <a:endParaRPr lang="pt-BR"/>
        </a:p>
      </dgm:t>
    </dgm:pt>
    <dgm:pt modelId="{B2DCF645-8D1C-4988-A132-1D07E156F056}" type="pres">
      <dgm:prSet presAssocID="{3F2D791A-3537-4B27-BC3D-88EA1C17729C}" presName="comp3" presStyleCnt="0"/>
      <dgm:spPr/>
    </dgm:pt>
    <dgm:pt modelId="{86789424-AD0E-4CCC-B89A-01A08DE0E394}" type="pres">
      <dgm:prSet presAssocID="{3F2D791A-3537-4B27-BC3D-88EA1C17729C}" presName="circle3" presStyleLbl="node1" presStyleIdx="2" presStyleCnt="3" custScaleX="131264" custScaleY="76901" custLinFactNeighborX="2521" custLinFactNeighborY="18572"/>
      <dgm:spPr/>
      <dgm:t>
        <a:bodyPr/>
        <a:lstStyle/>
        <a:p>
          <a:endParaRPr lang="pt-BR"/>
        </a:p>
      </dgm:t>
    </dgm:pt>
    <dgm:pt modelId="{8B0D7B03-7FEE-43E7-BA47-63B9F690184C}" type="pres">
      <dgm:prSet presAssocID="{3F2D791A-3537-4B27-BC3D-88EA1C17729C}" presName="c3text" presStyleLbl="node1" presStyleIdx="2" presStyleCnt="3">
        <dgm:presLayoutVars>
          <dgm:bulletEnabled val="1"/>
        </dgm:presLayoutVars>
      </dgm:prSet>
      <dgm:spPr/>
      <dgm:t>
        <a:bodyPr/>
        <a:lstStyle/>
        <a:p>
          <a:endParaRPr lang="pt-BR"/>
        </a:p>
      </dgm:t>
    </dgm:pt>
  </dgm:ptLst>
  <dgm:cxnLst>
    <dgm:cxn modelId="{E2175314-8A82-4FA1-BF39-AFB7F749857D}" type="presOf" srcId="{4C58A5F3-CA8D-42C3-85F9-90751990959E}" destId="{D9A1B79A-7883-4E53-B8F4-27C006661FD7}" srcOrd="0" destOrd="0" presId="urn:microsoft.com/office/officeart/2005/8/layout/venn2"/>
    <dgm:cxn modelId="{169497C7-5B59-4D01-BAF5-54372CB94492}" type="presOf" srcId="{627EB0AD-B18E-4FDA-B291-FD75F0E3588A}" destId="{5CB4B836-CA2D-492A-B67E-CD977A677455}" srcOrd="1" destOrd="0" presId="urn:microsoft.com/office/officeart/2005/8/layout/venn2"/>
    <dgm:cxn modelId="{650F7075-39A5-46DD-A6B7-544A8E2A5D1C}" type="presOf" srcId="{0622E71A-2CF0-4F2E-A80A-EA24E0070667}" destId="{8B0D7B03-7FEE-43E7-BA47-63B9F690184C}" srcOrd="1" destOrd="0" presId="urn:microsoft.com/office/officeart/2005/8/layout/venn2"/>
    <dgm:cxn modelId="{D56B156D-ACE8-45F4-BC91-88804EC04D5E}" type="presOf" srcId="{0622E71A-2CF0-4F2E-A80A-EA24E0070667}" destId="{86789424-AD0E-4CCC-B89A-01A08DE0E394}" srcOrd="0" destOrd="0" presId="urn:microsoft.com/office/officeart/2005/8/layout/venn2"/>
    <dgm:cxn modelId="{4705E3C6-C721-4E1F-BBAA-CC6847AA28C8}" srcId="{3F2D791A-3537-4B27-BC3D-88EA1C17729C}" destId="{0622E71A-2CF0-4F2E-A80A-EA24E0070667}" srcOrd="2" destOrd="0" parTransId="{CFA63CBF-AC0C-4CD5-8ACA-C7E945730DDB}" sibTransId="{E69FDEA2-6EEA-4341-BBE8-239DF1AE5033}"/>
    <dgm:cxn modelId="{91ED44E0-5914-4F20-BCED-059C12642C01}" srcId="{3F2D791A-3537-4B27-BC3D-88EA1C17729C}" destId="{627EB0AD-B18E-4FDA-B291-FD75F0E3588A}" srcOrd="0" destOrd="0" parTransId="{3132A399-B641-48C0-A90E-0EBF4A457E53}" sibTransId="{D31A308D-312D-40EE-B263-0BF072609C32}"/>
    <dgm:cxn modelId="{5DEBF22E-0BB8-4251-A7E5-69CEE6AFE475}" srcId="{3F2D791A-3537-4B27-BC3D-88EA1C17729C}" destId="{4C58A5F3-CA8D-42C3-85F9-90751990959E}" srcOrd="1" destOrd="0" parTransId="{4D302D67-6B08-4DA4-B759-15D664B58AC0}" sibTransId="{247EB1B0-A162-46D6-A1C3-4FEF61390139}"/>
    <dgm:cxn modelId="{F3E44F18-7C78-4028-81F8-484488119070}" type="presOf" srcId="{4C58A5F3-CA8D-42C3-85F9-90751990959E}" destId="{CAA83C26-EDFA-4D48-8C20-F95044083616}" srcOrd="1" destOrd="0" presId="urn:microsoft.com/office/officeart/2005/8/layout/venn2"/>
    <dgm:cxn modelId="{7D418F2F-A943-4D35-A832-920ECA38B0DF}" type="presOf" srcId="{3F2D791A-3537-4B27-BC3D-88EA1C17729C}" destId="{A154D73C-78C1-4F87-898B-E2CE0C5706D2}" srcOrd="0" destOrd="0" presId="urn:microsoft.com/office/officeart/2005/8/layout/venn2"/>
    <dgm:cxn modelId="{493D56A4-B821-4E11-AA24-387D121CB1E8}" type="presOf" srcId="{627EB0AD-B18E-4FDA-B291-FD75F0E3588A}" destId="{A91189BA-A39C-4859-AA17-0ED88F55FCA7}" srcOrd="0" destOrd="0" presId="urn:microsoft.com/office/officeart/2005/8/layout/venn2"/>
    <dgm:cxn modelId="{8E981AD4-8E3C-44C4-A901-AFC665D9DEF4}" type="presParOf" srcId="{A154D73C-78C1-4F87-898B-E2CE0C5706D2}" destId="{D33682EA-C5B7-4678-8E1E-D044375244DA}" srcOrd="0" destOrd="0" presId="urn:microsoft.com/office/officeart/2005/8/layout/venn2"/>
    <dgm:cxn modelId="{CB65C23C-3AF7-4354-A52B-F7479EE9AFA7}" type="presParOf" srcId="{D33682EA-C5B7-4678-8E1E-D044375244DA}" destId="{A91189BA-A39C-4859-AA17-0ED88F55FCA7}" srcOrd="0" destOrd="0" presId="urn:microsoft.com/office/officeart/2005/8/layout/venn2"/>
    <dgm:cxn modelId="{2111B565-C86B-4E10-98FC-98D3BB195739}" type="presParOf" srcId="{D33682EA-C5B7-4678-8E1E-D044375244DA}" destId="{5CB4B836-CA2D-492A-B67E-CD977A677455}" srcOrd="1" destOrd="0" presId="urn:microsoft.com/office/officeart/2005/8/layout/venn2"/>
    <dgm:cxn modelId="{E1FB1FA0-9F06-4A83-A83B-BCD193DD88EB}" type="presParOf" srcId="{A154D73C-78C1-4F87-898B-E2CE0C5706D2}" destId="{D423912C-CFDE-4220-A4B3-FDA569211C80}" srcOrd="1" destOrd="0" presId="urn:microsoft.com/office/officeart/2005/8/layout/venn2"/>
    <dgm:cxn modelId="{857C7973-B87C-4549-BE12-D424194E4CAE}" type="presParOf" srcId="{D423912C-CFDE-4220-A4B3-FDA569211C80}" destId="{D9A1B79A-7883-4E53-B8F4-27C006661FD7}" srcOrd="0" destOrd="0" presId="urn:microsoft.com/office/officeart/2005/8/layout/venn2"/>
    <dgm:cxn modelId="{232FD5ED-331B-443B-ACD4-54CB5F30A777}" type="presParOf" srcId="{D423912C-CFDE-4220-A4B3-FDA569211C80}" destId="{CAA83C26-EDFA-4D48-8C20-F95044083616}" srcOrd="1" destOrd="0" presId="urn:microsoft.com/office/officeart/2005/8/layout/venn2"/>
    <dgm:cxn modelId="{9A0A597E-AB7A-4938-8A03-BBE505FCB129}" type="presParOf" srcId="{A154D73C-78C1-4F87-898B-E2CE0C5706D2}" destId="{B2DCF645-8D1C-4988-A132-1D07E156F056}" srcOrd="2" destOrd="0" presId="urn:microsoft.com/office/officeart/2005/8/layout/venn2"/>
    <dgm:cxn modelId="{F9E7DF74-66A7-4B3D-B5BB-B69CC71FB312}" type="presParOf" srcId="{B2DCF645-8D1C-4988-A132-1D07E156F056}" destId="{86789424-AD0E-4CCC-B89A-01A08DE0E394}" srcOrd="0" destOrd="0" presId="urn:microsoft.com/office/officeart/2005/8/layout/venn2"/>
    <dgm:cxn modelId="{87D3C5CE-F604-45B2-B1FF-6FF5379839FE}" type="presParOf" srcId="{B2DCF645-8D1C-4988-A132-1D07E156F056}" destId="{8B0D7B03-7FEE-43E7-BA47-63B9F690184C}" srcOrd="1" destOrd="0" presId="urn:microsoft.com/office/officeart/2005/8/layout/venn2"/>
  </dgm:cxnLst>
  <dgm:bg/>
  <dgm:whole/>
  <dgm:extLst>
    <a:ext uri="http://schemas.microsoft.com/office/drawing/2008/diagram">
      <dsp:dataModelExt xmlns:dsp="http://schemas.microsoft.com/office/drawing/2008/diagram" xmlns=""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2321FC6-8654-4529-8A59-DED58EA69BCC}" type="doc">
      <dgm:prSet loTypeId="urn:microsoft.com/office/officeart/2005/8/layout/gear1" loCatId="cycle" qsTypeId="urn:microsoft.com/office/officeart/2005/8/quickstyle/simple3" qsCatId="simple" csTypeId="urn:microsoft.com/office/officeart/2005/8/colors/accent1_3" csCatId="accent1" phldr="1"/>
      <dgm:spPr/>
    </dgm:pt>
    <dgm:pt modelId="{9C5AA50D-DFBC-4897-BE32-21D6D6382B8E}">
      <dgm:prSet phldrT="[Texto]" custT="1"/>
      <dgm:spPr/>
      <dgm:t>
        <a:bodyPr/>
        <a:lstStyle/>
        <a:p>
          <a:r>
            <a:rPr lang="pt-PT" sz="1000" dirty="0" smtClean="0">
              <a:solidFill>
                <a:schemeClr val="tx2"/>
              </a:solidFill>
            </a:rPr>
            <a:t>Dinâmica de inovação</a:t>
          </a:r>
        </a:p>
        <a:p>
          <a:endParaRPr lang="pt-PT" sz="1000" dirty="0" smtClean="0"/>
        </a:p>
        <a:p>
          <a:r>
            <a:rPr lang="pt-PT" sz="1000" dirty="0" smtClean="0">
              <a:solidFill>
                <a:schemeClr val="tx2"/>
              </a:solidFill>
            </a:rPr>
            <a:t>Introdução de combustíveis não especificados</a:t>
          </a:r>
          <a:endParaRPr lang="pt-BR" sz="1000" dirty="0">
            <a:solidFill>
              <a:schemeClr val="tx2"/>
            </a:solidFill>
          </a:endParaRPr>
        </a:p>
      </dgm:t>
    </dgm:pt>
    <dgm:pt modelId="{FF29960F-47D7-4287-B459-A122D2970B06}" type="parTrans" cxnId="{52EFDFE8-3433-475E-A565-DAF1994DA059}">
      <dgm:prSet/>
      <dgm:spPr/>
      <dgm:t>
        <a:bodyPr/>
        <a:lstStyle/>
        <a:p>
          <a:endParaRPr lang="pt-BR"/>
        </a:p>
      </dgm:t>
    </dgm:pt>
    <dgm:pt modelId="{0BE9BDC4-387B-497B-8306-241DC2FC37D4}" type="sibTrans" cxnId="{52EFDFE8-3433-475E-A565-DAF1994DA059}">
      <dgm:prSet/>
      <dgm:spPr/>
      <dgm:t>
        <a:bodyPr/>
        <a:lstStyle/>
        <a:p>
          <a:endParaRPr lang="pt-BR"/>
        </a:p>
      </dgm:t>
    </dgm:pt>
    <dgm:pt modelId="{5C74EE1C-7683-415C-9F75-57A52E391FF3}">
      <dgm:prSet phldrT="[Texto]" custT="1"/>
      <dgm:spPr/>
      <dgm:t>
        <a:bodyPr/>
        <a:lstStyle/>
        <a:p>
          <a:r>
            <a:rPr lang="pt-PT" sz="1600" b="0" dirty="0" smtClean="0">
              <a:solidFill>
                <a:schemeClr val="tx2"/>
              </a:solidFill>
            </a:rPr>
            <a:t>ANP</a:t>
          </a:r>
          <a:endParaRPr lang="pt-BR" sz="1600" b="0" dirty="0">
            <a:solidFill>
              <a:schemeClr val="tx2"/>
            </a:solidFill>
          </a:endParaRPr>
        </a:p>
      </dgm:t>
    </dgm:pt>
    <dgm:pt modelId="{1B5A6D03-8904-4474-B637-4667ECFBCC0C}" type="parTrans" cxnId="{5953A246-03C0-4DCC-94B5-4169CCE530EC}">
      <dgm:prSet/>
      <dgm:spPr/>
      <dgm:t>
        <a:bodyPr/>
        <a:lstStyle/>
        <a:p>
          <a:endParaRPr lang="pt-BR"/>
        </a:p>
      </dgm:t>
    </dgm:pt>
    <dgm:pt modelId="{3F430211-B93C-45D8-B5B9-F304850572E4}" type="sibTrans" cxnId="{5953A246-03C0-4DCC-94B5-4169CCE530EC}">
      <dgm:prSet/>
      <dgm:spPr/>
      <dgm:t>
        <a:bodyPr/>
        <a:lstStyle/>
        <a:p>
          <a:endParaRPr lang="pt-BR"/>
        </a:p>
      </dgm:t>
    </dgm:pt>
    <dgm:pt modelId="{1460EB39-96C2-4857-BA4C-3B749C508E08}">
      <dgm:prSet phldrT="[Texto]"/>
      <dgm:spPr/>
      <dgm:t>
        <a:bodyPr/>
        <a:lstStyle/>
        <a:p>
          <a:r>
            <a:rPr lang="pt-PT" dirty="0" smtClean="0">
              <a:solidFill>
                <a:schemeClr val="tx2"/>
              </a:solidFill>
            </a:rPr>
            <a:t>Políticas Públicas: Mudanças Climáticas, PNPB, PAISS</a:t>
          </a:r>
          <a:endParaRPr lang="pt-BR" dirty="0">
            <a:solidFill>
              <a:schemeClr val="tx2"/>
            </a:solidFill>
          </a:endParaRPr>
        </a:p>
      </dgm:t>
    </dgm:pt>
    <dgm:pt modelId="{C3FC0757-A300-4FF6-9492-59990FD3244C}" type="parTrans" cxnId="{12804704-A7C8-484B-B04F-39A67B14FACC}">
      <dgm:prSet/>
      <dgm:spPr/>
      <dgm:t>
        <a:bodyPr/>
        <a:lstStyle/>
        <a:p>
          <a:endParaRPr lang="pt-BR"/>
        </a:p>
      </dgm:t>
    </dgm:pt>
    <dgm:pt modelId="{08C33E3A-73C5-4ECF-AE3C-679E675D4C6F}" type="sibTrans" cxnId="{12804704-A7C8-484B-B04F-39A67B14FACC}">
      <dgm:prSet/>
      <dgm:spPr/>
      <dgm:t>
        <a:bodyPr/>
        <a:lstStyle/>
        <a:p>
          <a:endParaRPr lang="pt-BR"/>
        </a:p>
      </dgm:t>
    </dgm:pt>
    <dgm:pt modelId="{9E23036B-3668-4437-A6CD-933140DE8BAA}" type="pres">
      <dgm:prSet presAssocID="{A2321FC6-8654-4529-8A59-DED58EA69BCC}" presName="composite" presStyleCnt="0">
        <dgm:presLayoutVars>
          <dgm:chMax val="3"/>
          <dgm:animLvl val="lvl"/>
          <dgm:resizeHandles val="exact"/>
        </dgm:presLayoutVars>
      </dgm:prSet>
      <dgm:spPr/>
    </dgm:pt>
    <dgm:pt modelId="{65F2D807-3F6D-486B-A660-BA488E489881}" type="pres">
      <dgm:prSet presAssocID="{9C5AA50D-DFBC-4897-BE32-21D6D6382B8E}" presName="gear1" presStyleLbl="node1" presStyleIdx="0" presStyleCnt="3" custAng="21270919">
        <dgm:presLayoutVars>
          <dgm:chMax val="1"/>
          <dgm:bulletEnabled val="1"/>
        </dgm:presLayoutVars>
      </dgm:prSet>
      <dgm:spPr/>
      <dgm:t>
        <a:bodyPr/>
        <a:lstStyle/>
        <a:p>
          <a:endParaRPr lang="pt-BR"/>
        </a:p>
      </dgm:t>
    </dgm:pt>
    <dgm:pt modelId="{D9F8CEC8-2441-4FEB-B9D1-BCA2BF68CB48}" type="pres">
      <dgm:prSet presAssocID="{9C5AA50D-DFBC-4897-BE32-21D6D6382B8E}" presName="gear1srcNode" presStyleLbl="node1" presStyleIdx="0" presStyleCnt="3"/>
      <dgm:spPr/>
      <dgm:t>
        <a:bodyPr/>
        <a:lstStyle/>
        <a:p>
          <a:endParaRPr lang="pt-BR"/>
        </a:p>
      </dgm:t>
    </dgm:pt>
    <dgm:pt modelId="{CB7DF9CF-BFF8-4115-AE9A-7EC8F573558F}" type="pres">
      <dgm:prSet presAssocID="{9C5AA50D-DFBC-4897-BE32-21D6D6382B8E}" presName="gear1dstNode" presStyleLbl="node1" presStyleIdx="0" presStyleCnt="3"/>
      <dgm:spPr/>
      <dgm:t>
        <a:bodyPr/>
        <a:lstStyle/>
        <a:p>
          <a:endParaRPr lang="pt-BR"/>
        </a:p>
      </dgm:t>
    </dgm:pt>
    <dgm:pt modelId="{EF19A346-66C1-471D-90E0-BD1102C7BDFE}" type="pres">
      <dgm:prSet presAssocID="{5C74EE1C-7683-415C-9F75-57A52E391FF3}" presName="gear2" presStyleLbl="node1" presStyleIdx="1" presStyleCnt="3" custLinFactNeighborX="-3087" custLinFactNeighborY="6791">
        <dgm:presLayoutVars>
          <dgm:chMax val="1"/>
          <dgm:bulletEnabled val="1"/>
        </dgm:presLayoutVars>
      </dgm:prSet>
      <dgm:spPr/>
      <dgm:t>
        <a:bodyPr/>
        <a:lstStyle/>
        <a:p>
          <a:endParaRPr lang="pt-BR"/>
        </a:p>
      </dgm:t>
    </dgm:pt>
    <dgm:pt modelId="{2352C3F2-9F3C-42D9-BBC5-B43FDE6182D6}" type="pres">
      <dgm:prSet presAssocID="{5C74EE1C-7683-415C-9F75-57A52E391FF3}" presName="gear2srcNode" presStyleLbl="node1" presStyleIdx="1" presStyleCnt="3"/>
      <dgm:spPr/>
      <dgm:t>
        <a:bodyPr/>
        <a:lstStyle/>
        <a:p>
          <a:endParaRPr lang="pt-BR"/>
        </a:p>
      </dgm:t>
    </dgm:pt>
    <dgm:pt modelId="{6F513EF5-F112-439B-856D-79C7CBDB2E61}" type="pres">
      <dgm:prSet presAssocID="{5C74EE1C-7683-415C-9F75-57A52E391FF3}" presName="gear2dstNode" presStyleLbl="node1" presStyleIdx="1" presStyleCnt="3"/>
      <dgm:spPr/>
      <dgm:t>
        <a:bodyPr/>
        <a:lstStyle/>
        <a:p>
          <a:endParaRPr lang="pt-BR"/>
        </a:p>
      </dgm:t>
    </dgm:pt>
    <dgm:pt modelId="{F8B7FC19-F6AB-4B22-8F8E-C80F95DC60BE}" type="pres">
      <dgm:prSet presAssocID="{1460EB39-96C2-4857-BA4C-3B749C508E08}" presName="gear3" presStyleLbl="node1" presStyleIdx="2" presStyleCnt="3" custAng="322685" custScaleX="125732" custScaleY="127668" custLinFactNeighborX="4626" custLinFactNeighborY="-514"/>
      <dgm:spPr/>
      <dgm:t>
        <a:bodyPr/>
        <a:lstStyle/>
        <a:p>
          <a:endParaRPr lang="pt-BR"/>
        </a:p>
      </dgm:t>
    </dgm:pt>
    <dgm:pt modelId="{65E322DD-91BE-46F1-A63F-218D95B20048}" type="pres">
      <dgm:prSet presAssocID="{1460EB39-96C2-4857-BA4C-3B749C508E08}" presName="gear3tx" presStyleLbl="node1" presStyleIdx="2" presStyleCnt="3">
        <dgm:presLayoutVars>
          <dgm:chMax val="1"/>
          <dgm:bulletEnabled val="1"/>
        </dgm:presLayoutVars>
      </dgm:prSet>
      <dgm:spPr/>
      <dgm:t>
        <a:bodyPr/>
        <a:lstStyle/>
        <a:p>
          <a:endParaRPr lang="pt-BR"/>
        </a:p>
      </dgm:t>
    </dgm:pt>
    <dgm:pt modelId="{7BCE12FA-71CE-48AE-9198-7603C8BE0D7E}" type="pres">
      <dgm:prSet presAssocID="{1460EB39-96C2-4857-BA4C-3B749C508E08}" presName="gear3srcNode" presStyleLbl="node1" presStyleIdx="2" presStyleCnt="3"/>
      <dgm:spPr/>
      <dgm:t>
        <a:bodyPr/>
        <a:lstStyle/>
        <a:p>
          <a:endParaRPr lang="pt-BR"/>
        </a:p>
      </dgm:t>
    </dgm:pt>
    <dgm:pt modelId="{D2516C85-348C-4420-8936-DD1F6E43E5F1}" type="pres">
      <dgm:prSet presAssocID="{1460EB39-96C2-4857-BA4C-3B749C508E08}" presName="gear3dstNode" presStyleLbl="node1" presStyleIdx="2" presStyleCnt="3"/>
      <dgm:spPr/>
      <dgm:t>
        <a:bodyPr/>
        <a:lstStyle/>
        <a:p>
          <a:endParaRPr lang="pt-BR"/>
        </a:p>
      </dgm:t>
    </dgm:pt>
    <dgm:pt modelId="{2555506D-68D2-4B0F-9870-CD18F6262E3D}" type="pres">
      <dgm:prSet presAssocID="{0BE9BDC4-387B-497B-8306-241DC2FC37D4}" presName="connector1" presStyleLbl="sibTrans2D1" presStyleIdx="0" presStyleCnt="3"/>
      <dgm:spPr/>
      <dgm:t>
        <a:bodyPr/>
        <a:lstStyle/>
        <a:p>
          <a:endParaRPr lang="pt-BR"/>
        </a:p>
      </dgm:t>
    </dgm:pt>
    <dgm:pt modelId="{CB876077-9F6E-474B-A0F7-8EECA85C942C}" type="pres">
      <dgm:prSet presAssocID="{3F430211-B93C-45D8-B5B9-F304850572E4}" presName="connector2" presStyleLbl="sibTrans2D1" presStyleIdx="1" presStyleCnt="3"/>
      <dgm:spPr/>
      <dgm:t>
        <a:bodyPr/>
        <a:lstStyle/>
        <a:p>
          <a:endParaRPr lang="pt-BR"/>
        </a:p>
      </dgm:t>
    </dgm:pt>
    <dgm:pt modelId="{1ED6C286-5BA0-4647-BB44-353D72269A48}" type="pres">
      <dgm:prSet presAssocID="{08C33E3A-73C5-4ECF-AE3C-679E675D4C6F}" presName="connector3" presStyleLbl="sibTrans2D1" presStyleIdx="2" presStyleCnt="3" custScaleX="116818"/>
      <dgm:spPr/>
      <dgm:t>
        <a:bodyPr/>
        <a:lstStyle/>
        <a:p>
          <a:endParaRPr lang="pt-BR"/>
        </a:p>
      </dgm:t>
    </dgm:pt>
  </dgm:ptLst>
  <dgm:cxnLst>
    <dgm:cxn modelId="{B1C94FDF-B693-4598-A54D-7ACB03BC6307}" type="presOf" srcId="{3F430211-B93C-45D8-B5B9-F304850572E4}" destId="{CB876077-9F6E-474B-A0F7-8EECA85C942C}" srcOrd="0" destOrd="0" presId="urn:microsoft.com/office/officeart/2005/8/layout/gear1"/>
    <dgm:cxn modelId="{004B36CC-CD7E-48A9-8ABB-47A7315F3D22}" type="presOf" srcId="{A2321FC6-8654-4529-8A59-DED58EA69BCC}" destId="{9E23036B-3668-4437-A6CD-933140DE8BAA}" srcOrd="0" destOrd="0" presId="urn:microsoft.com/office/officeart/2005/8/layout/gear1"/>
    <dgm:cxn modelId="{06EB56C1-B956-466E-9B72-5DDFAF9CEE1B}" type="presOf" srcId="{5C74EE1C-7683-415C-9F75-57A52E391FF3}" destId="{2352C3F2-9F3C-42D9-BBC5-B43FDE6182D6}" srcOrd="1" destOrd="0" presId="urn:microsoft.com/office/officeart/2005/8/layout/gear1"/>
    <dgm:cxn modelId="{DDAB0A65-3A32-482E-B2FE-14264AF7AC56}" type="presOf" srcId="{5C74EE1C-7683-415C-9F75-57A52E391FF3}" destId="{6F513EF5-F112-439B-856D-79C7CBDB2E61}" srcOrd="2" destOrd="0" presId="urn:microsoft.com/office/officeart/2005/8/layout/gear1"/>
    <dgm:cxn modelId="{EF0B7B82-92C8-4A1A-A920-9C77C2190C88}" type="presOf" srcId="{1460EB39-96C2-4857-BA4C-3B749C508E08}" destId="{7BCE12FA-71CE-48AE-9198-7603C8BE0D7E}" srcOrd="2" destOrd="0" presId="urn:microsoft.com/office/officeart/2005/8/layout/gear1"/>
    <dgm:cxn modelId="{388A4C60-B2A7-443A-ABC0-3A6D62817971}" type="presOf" srcId="{5C74EE1C-7683-415C-9F75-57A52E391FF3}" destId="{EF19A346-66C1-471D-90E0-BD1102C7BDFE}" srcOrd="0" destOrd="0" presId="urn:microsoft.com/office/officeart/2005/8/layout/gear1"/>
    <dgm:cxn modelId="{5953A246-03C0-4DCC-94B5-4169CCE530EC}" srcId="{A2321FC6-8654-4529-8A59-DED58EA69BCC}" destId="{5C74EE1C-7683-415C-9F75-57A52E391FF3}" srcOrd="1" destOrd="0" parTransId="{1B5A6D03-8904-4474-B637-4667ECFBCC0C}" sibTransId="{3F430211-B93C-45D8-B5B9-F304850572E4}"/>
    <dgm:cxn modelId="{243DF454-01CA-4F1C-BB62-EB21EF59F191}" type="presOf" srcId="{9C5AA50D-DFBC-4897-BE32-21D6D6382B8E}" destId="{CB7DF9CF-BFF8-4115-AE9A-7EC8F573558F}" srcOrd="2" destOrd="0" presId="urn:microsoft.com/office/officeart/2005/8/layout/gear1"/>
    <dgm:cxn modelId="{555F7A9B-70F7-486E-BF3A-125A91420328}" type="presOf" srcId="{1460EB39-96C2-4857-BA4C-3B749C508E08}" destId="{F8B7FC19-F6AB-4B22-8F8E-C80F95DC60BE}" srcOrd="0" destOrd="0" presId="urn:microsoft.com/office/officeart/2005/8/layout/gear1"/>
    <dgm:cxn modelId="{4359F89C-67DA-480A-A0E6-25F9107C2E9D}" type="presOf" srcId="{08C33E3A-73C5-4ECF-AE3C-679E675D4C6F}" destId="{1ED6C286-5BA0-4647-BB44-353D72269A48}" srcOrd="0" destOrd="0" presId="urn:microsoft.com/office/officeart/2005/8/layout/gear1"/>
    <dgm:cxn modelId="{4B535744-0877-4345-99D6-E8CA2A542771}" type="presOf" srcId="{1460EB39-96C2-4857-BA4C-3B749C508E08}" destId="{D2516C85-348C-4420-8936-DD1F6E43E5F1}" srcOrd="3" destOrd="0" presId="urn:microsoft.com/office/officeart/2005/8/layout/gear1"/>
    <dgm:cxn modelId="{12804704-A7C8-484B-B04F-39A67B14FACC}" srcId="{A2321FC6-8654-4529-8A59-DED58EA69BCC}" destId="{1460EB39-96C2-4857-BA4C-3B749C508E08}" srcOrd="2" destOrd="0" parTransId="{C3FC0757-A300-4FF6-9492-59990FD3244C}" sibTransId="{08C33E3A-73C5-4ECF-AE3C-679E675D4C6F}"/>
    <dgm:cxn modelId="{96F68D9A-6415-48EF-A259-7D3304D43404}" type="presOf" srcId="{1460EB39-96C2-4857-BA4C-3B749C508E08}" destId="{65E322DD-91BE-46F1-A63F-218D95B20048}" srcOrd="1" destOrd="0" presId="urn:microsoft.com/office/officeart/2005/8/layout/gear1"/>
    <dgm:cxn modelId="{A4355078-A332-466C-A138-E1E1C2F1F62C}" type="presOf" srcId="{9C5AA50D-DFBC-4897-BE32-21D6D6382B8E}" destId="{65F2D807-3F6D-486B-A660-BA488E489881}" srcOrd="0" destOrd="0" presId="urn:microsoft.com/office/officeart/2005/8/layout/gear1"/>
    <dgm:cxn modelId="{B2A9CE51-BD86-489F-91B7-A6E0F86FBA43}" type="presOf" srcId="{9C5AA50D-DFBC-4897-BE32-21D6D6382B8E}" destId="{D9F8CEC8-2441-4FEB-B9D1-BCA2BF68CB48}" srcOrd="1" destOrd="0" presId="urn:microsoft.com/office/officeart/2005/8/layout/gear1"/>
    <dgm:cxn modelId="{27C440A7-B595-4FA4-8F52-D7CB119FC3D4}" type="presOf" srcId="{0BE9BDC4-387B-497B-8306-241DC2FC37D4}" destId="{2555506D-68D2-4B0F-9870-CD18F6262E3D}" srcOrd="0" destOrd="0" presId="urn:microsoft.com/office/officeart/2005/8/layout/gear1"/>
    <dgm:cxn modelId="{52EFDFE8-3433-475E-A565-DAF1994DA059}" srcId="{A2321FC6-8654-4529-8A59-DED58EA69BCC}" destId="{9C5AA50D-DFBC-4897-BE32-21D6D6382B8E}" srcOrd="0" destOrd="0" parTransId="{FF29960F-47D7-4287-B459-A122D2970B06}" sibTransId="{0BE9BDC4-387B-497B-8306-241DC2FC37D4}"/>
    <dgm:cxn modelId="{F8B9A82C-0BDC-4593-850E-641EAA66FDC2}" type="presParOf" srcId="{9E23036B-3668-4437-A6CD-933140DE8BAA}" destId="{65F2D807-3F6D-486B-A660-BA488E489881}" srcOrd="0" destOrd="0" presId="urn:microsoft.com/office/officeart/2005/8/layout/gear1"/>
    <dgm:cxn modelId="{41587EA5-7B30-4E03-A5A3-CA6A6BDC9199}" type="presParOf" srcId="{9E23036B-3668-4437-A6CD-933140DE8BAA}" destId="{D9F8CEC8-2441-4FEB-B9D1-BCA2BF68CB48}" srcOrd="1" destOrd="0" presId="urn:microsoft.com/office/officeart/2005/8/layout/gear1"/>
    <dgm:cxn modelId="{A8654DE9-B062-46CE-87C5-BB031B47A0DE}" type="presParOf" srcId="{9E23036B-3668-4437-A6CD-933140DE8BAA}" destId="{CB7DF9CF-BFF8-4115-AE9A-7EC8F573558F}" srcOrd="2" destOrd="0" presId="urn:microsoft.com/office/officeart/2005/8/layout/gear1"/>
    <dgm:cxn modelId="{0C219015-B71F-48F0-A931-2BCA99D73C12}" type="presParOf" srcId="{9E23036B-3668-4437-A6CD-933140DE8BAA}" destId="{EF19A346-66C1-471D-90E0-BD1102C7BDFE}" srcOrd="3" destOrd="0" presId="urn:microsoft.com/office/officeart/2005/8/layout/gear1"/>
    <dgm:cxn modelId="{C1959416-8860-40B9-A6B6-1ACEE7743EA2}" type="presParOf" srcId="{9E23036B-3668-4437-A6CD-933140DE8BAA}" destId="{2352C3F2-9F3C-42D9-BBC5-B43FDE6182D6}" srcOrd="4" destOrd="0" presId="urn:microsoft.com/office/officeart/2005/8/layout/gear1"/>
    <dgm:cxn modelId="{7DA5BD12-1D19-4813-BFFB-33C2EA228929}" type="presParOf" srcId="{9E23036B-3668-4437-A6CD-933140DE8BAA}" destId="{6F513EF5-F112-439B-856D-79C7CBDB2E61}" srcOrd="5" destOrd="0" presId="urn:microsoft.com/office/officeart/2005/8/layout/gear1"/>
    <dgm:cxn modelId="{F2F96ADA-4C2A-4A69-A883-0C872BDD1EB9}" type="presParOf" srcId="{9E23036B-3668-4437-A6CD-933140DE8BAA}" destId="{F8B7FC19-F6AB-4B22-8F8E-C80F95DC60BE}" srcOrd="6" destOrd="0" presId="urn:microsoft.com/office/officeart/2005/8/layout/gear1"/>
    <dgm:cxn modelId="{E5A673B5-3810-41BE-8CDF-27472A711179}" type="presParOf" srcId="{9E23036B-3668-4437-A6CD-933140DE8BAA}" destId="{65E322DD-91BE-46F1-A63F-218D95B20048}" srcOrd="7" destOrd="0" presId="urn:microsoft.com/office/officeart/2005/8/layout/gear1"/>
    <dgm:cxn modelId="{23B9621A-0422-428C-9C71-4CAF3D2734D2}" type="presParOf" srcId="{9E23036B-3668-4437-A6CD-933140DE8BAA}" destId="{7BCE12FA-71CE-48AE-9198-7603C8BE0D7E}" srcOrd="8" destOrd="0" presId="urn:microsoft.com/office/officeart/2005/8/layout/gear1"/>
    <dgm:cxn modelId="{5CF2B586-9E76-4890-B77B-A81082DE998B}" type="presParOf" srcId="{9E23036B-3668-4437-A6CD-933140DE8BAA}" destId="{D2516C85-348C-4420-8936-DD1F6E43E5F1}" srcOrd="9" destOrd="0" presId="urn:microsoft.com/office/officeart/2005/8/layout/gear1"/>
    <dgm:cxn modelId="{0560E4AB-F734-4C08-AE1E-4405481F1B78}" type="presParOf" srcId="{9E23036B-3668-4437-A6CD-933140DE8BAA}" destId="{2555506D-68D2-4B0F-9870-CD18F6262E3D}" srcOrd="10" destOrd="0" presId="urn:microsoft.com/office/officeart/2005/8/layout/gear1"/>
    <dgm:cxn modelId="{730C8904-393B-4EC6-A656-99EAAD8B6D34}" type="presParOf" srcId="{9E23036B-3668-4437-A6CD-933140DE8BAA}" destId="{CB876077-9F6E-474B-A0F7-8EECA85C942C}" srcOrd="11" destOrd="0" presId="urn:microsoft.com/office/officeart/2005/8/layout/gear1"/>
    <dgm:cxn modelId="{BA0C660D-5215-4BE9-9446-9AA845030114}" type="presParOf" srcId="{9E23036B-3668-4437-A6CD-933140DE8BAA}" destId="{1ED6C286-5BA0-4647-BB44-353D72269A48}" srcOrd="12" destOrd="0" presId="urn:microsoft.com/office/officeart/2005/8/layout/gear1"/>
  </dgm:cxnLst>
  <dgm:bg/>
  <dgm:whole/>
  <dgm:extLst>
    <a:ext uri="http://schemas.microsoft.com/office/drawing/2008/diagram">
      <dsp:dataModelExt xmlns:dsp="http://schemas.microsoft.com/office/drawing/2008/diagram" xmlns="" relId="rId3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91189BA-A39C-4859-AA17-0ED88F55FCA7}">
      <dsp:nvSpPr>
        <dsp:cNvPr id="0" name=""/>
        <dsp:cNvSpPr/>
      </dsp:nvSpPr>
      <dsp:spPr>
        <a:xfrm>
          <a:off x="1033326" y="-61019"/>
          <a:ext cx="3334021" cy="2695575"/>
        </a:xfrm>
        <a:prstGeom prst="ellipse">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100000"/>
            </a:lnSpc>
            <a:spcBef>
              <a:spcPct val="0"/>
            </a:spcBef>
            <a:spcAft>
              <a:spcPts val="0"/>
            </a:spcAft>
          </a:pPr>
          <a:r>
            <a:rPr lang="pt-BR" sz="1200" kern="1200"/>
            <a:t>Renováveis </a:t>
          </a:r>
        </a:p>
        <a:p>
          <a:pPr lvl="0" algn="ctr" defTabSz="533400">
            <a:lnSpc>
              <a:spcPct val="100000"/>
            </a:lnSpc>
            <a:spcBef>
              <a:spcPct val="0"/>
            </a:spcBef>
            <a:spcAft>
              <a:spcPts val="0"/>
            </a:spcAft>
          </a:pPr>
          <a:r>
            <a:rPr lang="pt-BR" sz="1200" b="1" kern="1200" baseline="0">
              <a:solidFill>
                <a:srgbClr val="FFFF00"/>
              </a:solidFill>
            </a:rPr>
            <a:t>20%</a:t>
          </a:r>
        </a:p>
      </dsp:txBody>
      <dsp:txXfrm>
        <a:off x="2117717" y="73759"/>
        <a:ext cx="1165240" cy="404336"/>
      </dsp:txXfrm>
    </dsp:sp>
    <dsp:sp modelId="{D9A1B79A-7883-4E53-B8F4-27C006661FD7}">
      <dsp:nvSpPr>
        <dsp:cNvPr id="0" name=""/>
        <dsp:cNvSpPr/>
      </dsp:nvSpPr>
      <dsp:spPr>
        <a:xfrm>
          <a:off x="1237085" y="490835"/>
          <a:ext cx="2926504" cy="2265758"/>
        </a:xfrm>
        <a:prstGeom prst="ellipse">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100000"/>
            </a:lnSpc>
            <a:spcBef>
              <a:spcPct val="0"/>
            </a:spcBef>
            <a:spcAft>
              <a:spcPts val="0"/>
            </a:spcAft>
          </a:pPr>
          <a:endParaRPr lang="pt-BR" sz="1200" kern="1200"/>
        </a:p>
        <a:p>
          <a:pPr lvl="0" algn="ctr" defTabSz="533400">
            <a:lnSpc>
              <a:spcPct val="100000"/>
            </a:lnSpc>
            <a:spcBef>
              <a:spcPct val="0"/>
            </a:spcBef>
            <a:spcAft>
              <a:spcPts val="0"/>
            </a:spcAft>
          </a:pPr>
          <a:endParaRPr lang="pt-BR" sz="1200" kern="1200"/>
        </a:p>
        <a:p>
          <a:pPr lvl="0" algn="ctr" defTabSz="533400">
            <a:lnSpc>
              <a:spcPct val="100000"/>
            </a:lnSpc>
            <a:spcBef>
              <a:spcPct val="0"/>
            </a:spcBef>
            <a:spcAft>
              <a:spcPts val="0"/>
            </a:spcAft>
          </a:pPr>
          <a:endParaRPr lang="pt-BR" sz="1200" kern="1200"/>
        </a:p>
        <a:p>
          <a:pPr lvl="0" algn="ctr" defTabSz="533400">
            <a:lnSpc>
              <a:spcPct val="100000"/>
            </a:lnSpc>
            <a:spcBef>
              <a:spcPct val="0"/>
            </a:spcBef>
            <a:spcAft>
              <a:spcPts val="0"/>
            </a:spcAft>
          </a:pPr>
          <a:r>
            <a:rPr lang="pt-BR" sz="1200" kern="1200"/>
            <a:t>Biocombustível avançado </a:t>
          </a:r>
        </a:p>
        <a:p>
          <a:pPr lvl="0" algn="ctr" defTabSz="533400">
            <a:lnSpc>
              <a:spcPct val="100000"/>
            </a:lnSpc>
            <a:spcBef>
              <a:spcPct val="0"/>
            </a:spcBef>
            <a:spcAft>
              <a:spcPts val="0"/>
            </a:spcAft>
          </a:pPr>
          <a:r>
            <a:rPr lang="pt-BR" sz="1200" kern="1200"/>
            <a:t>e</a:t>
          </a:r>
        </a:p>
        <a:p>
          <a:pPr lvl="0" algn="ctr" defTabSz="533400">
            <a:lnSpc>
              <a:spcPct val="100000"/>
            </a:lnSpc>
            <a:spcBef>
              <a:spcPct val="0"/>
            </a:spcBef>
            <a:spcAft>
              <a:spcPts val="0"/>
            </a:spcAft>
          </a:pPr>
          <a:r>
            <a:rPr lang="pt-BR" sz="1200" kern="1200"/>
            <a:t>Diesel de biomassa</a:t>
          </a:r>
        </a:p>
        <a:p>
          <a:pPr lvl="0" algn="ctr" defTabSz="533400">
            <a:lnSpc>
              <a:spcPct val="100000"/>
            </a:lnSpc>
            <a:spcBef>
              <a:spcPct val="0"/>
            </a:spcBef>
            <a:spcAft>
              <a:spcPts val="0"/>
            </a:spcAft>
          </a:pPr>
          <a:r>
            <a:rPr lang="pt-BR" sz="1200" b="1" i="0" kern="1200" baseline="0">
              <a:solidFill>
                <a:srgbClr val="FFFF00"/>
              </a:solidFill>
            </a:rPr>
            <a:t>50%</a:t>
          </a:r>
        </a:p>
      </dsp:txBody>
      <dsp:txXfrm>
        <a:off x="2018461" y="632445"/>
        <a:ext cx="1363751" cy="424829"/>
      </dsp:txXfrm>
    </dsp:sp>
    <dsp:sp modelId="{86789424-AD0E-4CCC-B89A-01A08DE0E394}">
      <dsp:nvSpPr>
        <dsp:cNvPr id="0" name=""/>
        <dsp:cNvSpPr/>
      </dsp:nvSpPr>
      <dsp:spPr>
        <a:xfrm>
          <a:off x="1849735" y="1659112"/>
          <a:ext cx="1769159" cy="1036462"/>
        </a:xfrm>
        <a:prstGeom prst="ellipse">
          <a:avLst/>
        </a:prstGeom>
        <a:solidFill>
          <a:schemeClr val="accent3">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pt-BR" sz="1200" kern="1200"/>
            <a:t>Biocombustível celulósico</a:t>
          </a:r>
        </a:p>
        <a:p>
          <a:pPr lvl="0" algn="ctr" defTabSz="533400">
            <a:lnSpc>
              <a:spcPct val="90000"/>
            </a:lnSpc>
            <a:spcBef>
              <a:spcPct val="0"/>
            </a:spcBef>
            <a:spcAft>
              <a:spcPct val="35000"/>
            </a:spcAft>
          </a:pPr>
          <a:r>
            <a:rPr lang="pt-BR" sz="1200" b="1" kern="1200" baseline="0">
              <a:solidFill>
                <a:srgbClr val="FFFF00"/>
              </a:solidFill>
            </a:rPr>
            <a:t>60%</a:t>
          </a:r>
        </a:p>
      </dsp:txBody>
      <dsp:txXfrm>
        <a:off x="2108822" y="1918228"/>
        <a:ext cx="1250984" cy="518231"/>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5F2D807-3F6D-486B-A660-BA488E489881}">
      <dsp:nvSpPr>
        <dsp:cNvPr id="0" name=""/>
        <dsp:cNvSpPr/>
      </dsp:nvSpPr>
      <dsp:spPr>
        <a:xfrm rot="21270919">
          <a:off x="1851183" y="1394556"/>
          <a:ext cx="1587341" cy="1587341"/>
        </a:xfrm>
        <a:prstGeom prst="gear9">
          <a:avLst/>
        </a:prstGeom>
        <a:gradFill rotWithShape="0">
          <a:gsLst>
            <a:gs pos="0">
              <a:schemeClr val="accent1">
                <a:shade val="80000"/>
                <a:hueOff val="0"/>
                <a:satOff val="0"/>
                <a:lumOff val="0"/>
                <a:alphaOff val="0"/>
                <a:tint val="50000"/>
                <a:satMod val="300000"/>
              </a:schemeClr>
            </a:gs>
            <a:gs pos="35000">
              <a:schemeClr val="accent1">
                <a:shade val="80000"/>
                <a:hueOff val="0"/>
                <a:satOff val="0"/>
                <a:lumOff val="0"/>
                <a:alphaOff val="0"/>
                <a:tint val="37000"/>
                <a:satMod val="300000"/>
              </a:schemeClr>
            </a:gs>
            <a:gs pos="100000">
              <a:schemeClr val="accent1">
                <a:shade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pt-PT" sz="1000" kern="1200" dirty="0" smtClean="0">
              <a:solidFill>
                <a:schemeClr val="tx2"/>
              </a:solidFill>
            </a:rPr>
            <a:t>Dinâmica de inovação</a:t>
          </a:r>
        </a:p>
        <a:p>
          <a:pPr lvl="0" algn="ctr" defTabSz="444500">
            <a:lnSpc>
              <a:spcPct val="90000"/>
            </a:lnSpc>
            <a:spcBef>
              <a:spcPct val="0"/>
            </a:spcBef>
            <a:spcAft>
              <a:spcPct val="35000"/>
            </a:spcAft>
          </a:pPr>
          <a:endParaRPr lang="pt-PT" sz="1000" kern="1200" dirty="0" smtClean="0"/>
        </a:p>
        <a:p>
          <a:pPr lvl="0" algn="ctr" defTabSz="444500">
            <a:lnSpc>
              <a:spcPct val="90000"/>
            </a:lnSpc>
            <a:spcBef>
              <a:spcPct val="0"/>
            </a:spcBef>
            <a:spcAft>
              <a:spcPct val="35000"/>
            </a:spcAft>
          </a:pPr>
          <a:r>
            <a:rPr lang="pt-PT" sz="1000" kern="1200" dirty="0" smtClean="0">
              <a:solidFill>
                <a:schemeClr val="tx2"/>
              </a:solidFill>
            </a:rPr>
            <a:t>Introdução de combustíveis não especificados</a:t>
          </a:r>
          <a:endParaRPr lang="pt-BR" sz="1000" kern="1200" dirty="0">
            <a:solidFill>
              <a:schemeClr val="tx2"/>
            </a:solidFill>
          </a:endParaRPr>
        </a:p>
      </dsp:txBody>
      <dsp:txXfrm rot="21270919">
        <a:off x="1851183" y="1394556"/>
        <a:ext cx="1587341" cy="1587341"/>
      </dsp:txXfrm>
    </dsp:sp>
    <dsp:sp modelId="{EF19A346-66C1-471D-90E0-BD1102C7BDFE}">
      <dsp:nvSpPr>
        <dsp:cNvPr id="0" name=""/>
        <dsp:cNvSpPr/>
      </dsp:nvSpPr>
      <dsp:spPr>
        <a:xfrm>
          <a:off x="892002" y="1097763"/>
          <a:ext cx="1154430" cy="1154430"/>
        </a:xfrm>
        <a:prstGeom prst="gear6">
          <a:avLst/>
        </a:prstGeom>
        <a:gradFill rotWithShape="0">
          <a:gsLst>
            <a:gs pos="0">
              <a:schemeClr val="accent1">
                <a:shade val="80000"/>
                <a:hueOff val="153123"/>
                <a:satOff val="-2196"/>
                <a:lumOff val="12807"/>
                <a:alphaOff val="0"/>
                <a:tint val="50000"/>
                <a:satMod val="300000"/>
              </a:schemeClr>
            </a:gs>
            <a:gs pos="35000">
              <a:schemeClr val="accent1">
                <a:shade val="80000"/>
                <a:hueOff val="153123"/>
                <a:satOff val="-2196"/>
                <a:lumOff val="12807"/>
                <a:alphaOff val="0"/>
                <a:tint val="37000"/>
                <a:satMod val="300000"/>
              </a:schemeClr>
            </a:gs>
            <a:gs pos="100000">
              <a:schemeClr val="accent1">
                <a:shade val="80000"/>
                <a:hueOff val="153123"/>
                <a:satOff val="-2196"/>
                <a:lumOff val="12807"/>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pt-PT" sz="1600" b="0" kern="1200" dirty="0" smtClean="0">
              <a:solidFill>
                <a:schemeClr val="tx2"/>
              </a:solidFill>
            </a:rPr>
            <a:t>ANP</a:t>
          </a:r>
          <a:endParaRPr lang="pt-BR" sz="1600" b="0" kern="1200" dirty="0">
            <a:solidFill>
              <a:schemeClr val="tx2"/>
            </a:solidFill>
          </a:endParaRPr>
        </a:p>
      </dsp:txBody>
      <dsp:txXfrm>
        <a:off x="892002" y="1097763"/>
        <a:ext cx="1154430" cy="1154430"/>
      </dsp:txXfrm>
    </dsp:sp>
    <dsp:sp modelId="{F8B7FC19-F6AB-4B22-8F8E-C80F95DC60BE}">
      <dsp:nvSpPr>
        <dsp:cNvPr id="0" name=""/>
        <dsp:cNvSpPr/>
      </dsp:nvSpPr>
      <dsp:spPr>
        <a:xfrm rot="21022685">
          <a:off x="1496802" y="62442"/>
          <a:ext cx="1414146" cy="1452075"/>
        </a:xfrm>
        <a:prstGeom prst="gear6">
          <a:avLst/>
        </a:prstGeom>
        <a:gradFill rotWithShape="0">
          <a:gsLst>
            <a:gs pos="0">
              <a:schemeClr val="accent1">
                <a:shade val="80000"/>
                <a:hueOff val="306246"/>
                <a:satOff val="-4392"/>
                <a:lumOff val="25615"/>
                <a:alphaOff val="0"/>
                <a:tint val="50000"/>
                <a:satMod val="300000"/>
              </a:schemeClr>
            </a:gs>
            <a:gs pos="35000">
              <a:schemeClr val="accent1">
                <a:shade val="80000"/>
                <a:hueOff val="306246"/>
                <a:satOff val="-4392"/>
                <a:lumOff val="25615"/>
                <a:alphaOff val="0"/>
                <a:tint val="37000"/>
                <a:satMod val="300000"/>
              </a:schemeClr>
            </a:gs>
            <a:gs pos="100000">
              <a:schemeClr val="accent1">
                <a:shade val="80000"/>
                <a:hueOff val="306246"/>
                <a:satOff val="-4392"/>
                <a:lumOff val="2561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pt-PT" sz="1000" kern="1200" dirty="0" smtClean="0">
              <a:solidFill>
                <a:schemeClr val="tx2"/>
              </a:solidFill>
            </a:rPr>
            <a:t>Políticas Públicas: Mudanças Climáticas, PNPB, PAISS</a:t>
          </a:r>
          <a:endParaRPr lang="pt-BR" sz="1000" kern="1200" dirty="0">
            <a:solidFill>
              <a:schemeClr val="tx2"/>
            </a:solidFill>
          </a:endParaRPr>
        </a:p>
      </dsp:txBody>
      <dsp:txXfrm rot="322685">
        <a:off x="1804716" y="383174"/>
        <a:ext cx="798318" cy="810610"/>
      </dsp:txXfrm>
    </dsp:sp>
    <dsp:sp modelId="{2555506D-68D2-4B0F-9870-CD18F6262E3D}">
      <dsp:nvSpPr>
        <dsp:cNvPr id="0" name=""/>
        <dsp:cNvSpPr/>
      </dsp:nvSpPr>
      <dsp:spPr>
        <a:xfrm>
          <a:off x="1715336" y="1162771"/>
          <a:ext cx="2031796" cy="2031796"/>
        </a:xfrm>
        <a:prstGeom prst="circularArrow">
          <a:avLst>
            <a:gd name="adj1" fmla="val 4688"/>
            <a:gd name="adj2" fmla="val 299029"/>
            <a:gd name="adj3" fmla="val 2473832"/>
            <a:gd name="adj4" fmla="val 15955686"/>
            <a:gd name="adj5" fmla="val 5469"/>
          </a:avLst>
        </a:prstGeom>
        <a:gradFill rotWithShape="0">
          <a:gsLst>
            <a:gs pos="0">
              <a:schemeClr val="accent1">
                <a:shade val="90000"/>
                <a:hueOff val="0"/>
                <a:satOff val="0"/>
                <a:lumOff val="0"/>
                <a:alphaOff val="0"/>
                <a:tint val="50000"/>
                <a:satMod val="300000"/>
              </a:schemeClr>
            </a:gs>
            <a:gs pos="35000">
              <a:schemeClr val="accent1">
                <a:shade val="90000"/>
                <a:hueOff val="0"/>
                <a:satOff val="0"/>
                <a:lumOff val="0"/>
                <a:alphaOff val="0"/>
                <a:tint val="37000"/>
                <a:satMod val="300000"/>
              </a:schemeClr>
            </a:gs>
            <a:gs pos="100000">
              <a:schemeClr val="accent1">
                <a:shade val="9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CB876077-9F6E-474B-A0F7-8EECA85C942C}">
      <dsp:nvSpPr>
        <dsp:cNvPr id="0" name=""/>
        <dsp:cNvSpPr/>
      </dsp:nvSpPr>
      <dsp:spPr>
        <a:xfrm>
          <a:off x="723192" y="769548"/>
          <a:ext cx="1476227" cy="1476227"/>
        </a:xfrm>
        <a:prstGeom prst="leftCircularArrow">
          <a:avLst>
            <a:gd name="adj1" fmla="val 6452"/>
            <a:gd name="adj2" fmla="val 429999"/>
            <a:gd name="adj3" fmla="val 10489124"/>
            <a:gd name="adj4" fmla="val 14837806"/>
            <a:gd name="adj5" fmla="val 7527"/>
          </a:avLst>
        </a:prstGeom>
        <a:gradFill rotWithShape="0">
          <a:gsLst>
            <a:gs pos="0">
              <a:schemeClr val="accent1">
                <a:shade val="90000"/>
                <a:hueOff val="153150"/>
                <a:satOff val="-2127"/>
                <a:lumOff val="11477"/>
                <a:alphaOff val="0"/>
                <a:tint val="50000"/>
                <a:satMod val="300000"/>
              </a:schemeClr>
            </a:gs>
            <a:gs pos="35000">
              <a:schemeClr val="accent1">
                <a:shade val="90000"/>
                <a:hueOff val="153150"/>
                <a:satOff val="-2127"/>
                <a:lumOff val="11477"/>
                <a:alphaOff val="0"/>
                <a:tint val="37000"/>
                <a:satMod val="300000"/>
              </a:schemeClr>
            </a:gs>
            <a:gs pos="100000">
              <a:schemeClr val="accent1">
                <a:shade val="90000"/>
                <a:hueOff val="153150"/>
                <a:satOff val="-2127"/>
                <a:lumOff val="11477"/>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1ED6C286-5BA0-4647-BB44-353D72269A48}">
      <dsp:nvSpPr>
        <dsp:cNvPr id="0" name=""/>
        <dsp:cNvSpPr/>
      </dsp:nvSpPr>
      <dsp:spPr>
        <a:xfrm>
          <a:off x="1178758" y="-19212"/>
          <a:ext cx="1859357" cy="1591670"/>
        </a:xfrm>
        <a:prstGeom prst="circularArrow">
          <a:avLst>
            <a:gd name="adj1" fmla="val 5984"/>
            <a:gd name="adj2" fmla="val 394124"/>
            <a:gd name="adj3" fmla="val 13313824"/>
            <a:gd name="adj4" fmla="val 10508221"/>
            <a:gd name="adj5" fmla="val 6981"/>
          </a:avLst>
        </a:prstGeom>
        <a:gradFill rotWithShape="0">
          <a:gsLst>
            <a:gs pos="0">
              <a:schemeClr val="accent1">
                <a:shade val="90000"/>
                <a:hueOff val="306300"/>
                <a:satOff val="-4255"/>
                <a:lumOff val="22954"/>
                <a:alphaOff val="0"/>
                <a:tint val="50000"/>
                <a:satMod val="300000"/>
              </a:schemeClr>
            </a:gs>
            <a:gs pos="35000">
              <a:schemeClr val="accent1">
                <a:shade val="90000"/>
                <a:hueOff val="306300"/>
                <a:satOff val="-4255"/>
                <a:lumOff val="22954"/>
                <a:alphaOff val="0"/>
                <a:tint val="37000"/>
                <a:satMod val="300000"/>
              </a:schemeClr>
            </a:gs>
            <a:gs pos="100000">
              <a:schemeClr val="accent1">
                <a:shade val="90000"/>
                <a:hueOff val="306300"/>
                <a:satOff val="-4255"/>
                <a:lumOff val="22954"/>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2.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F38E9-2720-48FC-9D6F-A06630537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133</Pages>
  <Words>44635</Words>
  <Characters>241033</Characters>
  <Application>Microsoft Office Word</Application>
  <DocSecurity>0</DocSecurity>
  <Lines>2008</Lines>
  <Paragraphs>570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inaie</dc:creator>
  <cp:lastModifiedBy>zevitor</cp:lastModifiedBy>
  <cp:revision>2</cp:revision>
  <cp:lastPrinted>2012-08-13T23:27:00Z</cp:lastPrinted>
  <dcterms:created xsi:type="dcterms:W3CDTF">2012-09-26T13:57:00Z</dcterms:created>
  <dcterms:modified xsi:type="dcterms:W3CDTF">2012-09-26T13:57:00Z</dcterms:modified>
</cp:coreProperties>
</file>